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116C" w14:textId="77777777" w:rsidR="003A7EA3" w:rsidRPr="003A7EA3" w:rsidRDefault="003A7EA3" w:rsidP="003A7EA3">
      <w:pPr>
        <w:pStyle w:val="FirstParagraph"/>
      </w:pPr>
      <w:r>
        <w:rPr>
          <w:noProof/>
          <w:lang w:val="en-GB" w:eastAsia="en-GB"/>
        </w:rPr>
        <w:drawing>
          <wp:inline distT="0" distB="0" distL="0" distR="0" wp14:anchorId="1891A24A" wp14:editId="5F99FE62">
            <wp:extent cx="5984240" cy="31113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469" cy="3144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51ACC" w14:textId="77777777" w:rsidR="003A7EA3" w:rsidRDefault="003A7EA3" w:rsidP="003A7EA3">
      <w:pPr>
        <w:pStyle w:val="Heading2"/>
        <w:spacing w:before="0" w:after="0"/>
        <w:jc w:val="center"/>
        <w:rPr>
          <w:rFonts w:ascii="Arial" w:hAnsi="Arial" w:cs="Arial"/>
          <w:color w:val="5F6B73"/>
          <w:sz w:val="54"/>
          <w:szCs w:val="54"/>
        </w:rPr>
      </w:pPr>
      <w:r>
        <w:rPr>
          <w:rFonts w:ascii="Arial" w:hAnsi="Arial" w:cs="Arial"/>
          <w:color w:val="243485"/>
          <w:sz w:val="54"/>
          <w:szCs w:val="54"/>
        </w:rPr>
        <w:t>Our Mission, Vision &amp; Values</w:t>
      </w:r>
    </w:p>
    <w:p w14:paraId="7051F7A5" w14:textId="77777777" w:rsidR="003A7EA3" w:rsidRDefault="003A7EA3" w:rsidP="003A7EA3">
      <w:pPr>
        <w:pStyle w:val="NormalWeb"/>
        <w:jc w:val="center"/>
        <w:rPr>
          <w:rFonts w:ascii="Arial" w:hAnsi="Arial" w:cs="Arial"/>
          <w:color w:val="5F6B73"/>
        </w:rPr>
      </w:pPr>
      <w:r>
        <w:rPr>
          <w:rFonts w:ascii="Arial" w:hAnsi="Arial" w:cs="Arial"/>
          <w:color w:val="243485"/>
        </w:rPr>
        <w:t>Our mission is to </w:t>
      </w:r>
      <w:r>
        <w:rPr>
          <w:rStyle w:val="Strong"/>
          <w:rFonts w:ascii="Arial" w:hAnsi="Arial" w:cs="Arial"/>
          <w:color w:val="243485"/>
        </w:rPr>
        <w:t>work with those who need us the most</w:t>
      </w:r>
      <w:r>
        <w:rPr>
          <w:rFonts w:ascii="Arial" w:hAnsi="Arial" w:cs="Arial"/>
          <w:color w:val="243485"/>
        </w:rPr>
        <w:t>.</w:t>
      </w:r>
    </w:p>
    <w:p w14:paraId="13967898" w14:textId="77777777" w:rsidR="003A7EA3" w:rsidRDefault="003A7EA3" w:rsidP="003A7EA3">
      <w:pPr>
        <w:pStyle w:val="NormalWeb"/>
        <w:jc w:val="center"/>
        <w:rPr>
          <w:rFonts w:ascii="Arial" w:hAnsi="Arial" w:cs="Arial"/>
          <w:color w:val="5F6B73"/>
        </w:rPr>
      </w:pPr>
      <w:r>
        <w:rPr>
          <w:rFonts w:ascii="Arial" w:hAnsi="Arial" w:cs="Arial"/>
          <w:color w:val="243485"/>
        </w:rPr>
        <w:t>Our vision is to </w:t>
      </w:r>
      <w:r>
        <w:rPr>
          <w:rStyle w:val="Strong"/>
          <w:rFonts w:ascii="Arial" w:hAnsi="Arial" w:cs="Arial"/>
          <w:color w:val="00A2DD"/>
        </w:rPr>
        <w:t>create a blended Trust that includes SEND schools, mainstream</w:t>
      </w:r>
      <w:r>
        <w:rPr>
          <w:rFonts w:ascii="Arial" w:hAnsi="Arial" w:cs="Arial"/>
          <w:b/>
          <w:bCs/>
          <w:color w:val="00A2DD"/>
        </w:rPr>
        <w:br/>
      </w:r>
      <w:r>
        <w:rPr>
          <w:rStyle w:val="Strong"/>
          <w:rFonts w:ascii="Arial" w:hAnsi="Arial" w:cs="Arial"/>
          <w:color w:val="00A2DD"/>
        </w:rPr>
        <w:t>primary and PRU’s and to create hubs that drive school improvement.</w:t>
      </w:r>
    </w:p>
    <w:p w14:paraId="0E9D183E" w14:textId="77777777" w:rsidR="003A7EA3" w:rsidRDefault="003A7EA3" w:rsidP="003A7EA3">
      <w:pPr>
        <w:pStyle w:val="NormalWeb"/>
        <w:jc w:val="center"/>
        <w:rPr>
          <w:rFonts w:ascii="Arial" w:hAnsi="Arial" w:cs="Arial"/>
          <w:color w:val="5F6B73"/>
        </w:rPr>
      </w:pPr>
      <w:r>
        <w:rPr>
          <w:rFonts w:ascii="Arial" w:hAnsi="Arial" w:cs="Arial"/>
          <w:color w:val="243485"/>
        </w:rPr>
        <w:t>Our values are:</w:t>
      </w:r>
    </w:p>
    <w:p w14:paraId="3BB7BEC4" w14:textId="77777777" w:rsidR="003A7EA3" w:rsidRDefault="003A7EA3" w:rsidP="003A7EA3">
      <w:pPr>
        <w:numPr>
          <w:ilvl w:val="0"/>
          <w:numId w:val="20"/>
        </w:numPr>
        <w:spacing w:before="100" w:beforeAutospacing="1" w:after="100" w:afterAutospacing="1"/>
        <w:ind w:left="0"/>
        <w:jc w:val="center"/>
        <w:rPr>
          <w:rFonts w:ascii="Arial" w:hAnsi="Arial" w:cs="Arial"/>
          <w:color w:val="5F6B73"/>
        </w:rPr>
      </w:pPr>
      <w:r>
        <w:rPr>
          <w:rStyle w:val="Strong"/>
          <w:rFonts w:ascii="Arial" w:hAnsi="Arial" w:cs="Arial"/>
          <w:color w:val="243485"/>
        </w:rPr>
        <w:t>To be inclusive</w:t>
      </w:r>
    </w:p>
    <w:p w14:paraId="131E408B" w14:textId="77777777" w:rsidR="003A7EA3" w:rsidRDefault="003A7EA3" w:rsidP="003A7EA3">
      <w:pPr>
        <w:numPr>
          <w:ilvl w:val="0"/>
          <w:numId w:val="20"/>
        </w:numPr>
        <w:spacing w:before="100" w:beforeAutospacing="1" w:after="100" w:afterAutospacing="1"/>
        <w:ind w:left="0"/>
        <w:jc w:val="center"/>
        <w:rPr>
          <w:rFonts w:ascii="Arial" w:hAnsi="Arial" w:cs="Arial"/>
          <w:color w:val="5F6B73"/>
        </w:rPr>
      </w:pPr>
      <w:r>
        <w:rPr>
          <w:rStyle w:val="Strong"/>
          <w:rFonts w:ascii="Arial" w:hAnsi="Arial" w:cs="Arial"/>
          <w:color w:val="00A2DD"/>
        </w:rPr>
        <w:t>To provide nurturing/caring environments</w:t>
      </w:r>
    </w:p>
    <w:p w14:paraId="0A9ED816" w14:textId="77777777" w:rsidR="003A7EA3" w:rsidRDefault="003A7EA3" w:rsidP="003A7EA3">
      <w:pPr>
        <w:numPr>
          <w:ilvl w:val="0"/>
          <w:numId w:val="20"/>
        </w:numPr>
        <w:spacing w:before="100" w:beforeAutospacing="1" w:after="100" w:afterAutospacing="1"/>
        <w:ind w:left="0"/>
        <w:jc w:val="center"/>
        <w:rPr>
          <w:rFonts w:ascii="Arial" w:hAnsi="Arial" w:cs="Arial"/>
          <w:color w:val="5F6B73"/>
        </w:rPr>
      </w:pPr>
      <w:r>
        <w:rPr>
          <w:rStyle w:val="Strong"/>
          <w:rFonts w:ascii="Arial" w:hAnsi="Arial" w:cs="Arial"/>
          <w:color w:val="FFD200"/>
        </w:rPr>
        <w:t>For children to feel safe</w:t>
      </w:r>
    </w:p>
    <w:p w14:paraId="0AD47154" w14:textId="77777777" w:rsidR="003A7EA3" w:rsidRDefault="003A7EA3" w:rsidP="003A7EA3">
      <w:pPr>
        <w:numPr>
          <w:ilvl w:val="0"/>
          <w:numId w:val="20"/>
        </w:numPr>
        <w:spacing w:before="100" w:beforeAutospacing="1" w:after="100" w:afterAutospacing="1"/>
        <w:ind w:left="0"/>
        <w:jc w:val="center"/>
        <w:rPr>
          <w:rFonts w:ascii="Arial" w:hAnsi="Arial" w:cs="Arial"/>
          <w:color w:val="5F6B73"/>
        </w:rPr>
      </w:pPr>
      <w:r>
        <w:rPr>
          <w:rStyle w:val="Strong"/>
          <w:rFonts w:ascii="Arial" w:hAnsi="Arial" w:cs="Arial"/>
          <w:color w:val="A0A5A8"/>
        </w:rPr>
        <w:t>To work with integrity and a strong moral compass</w:t>
      </w:r>
    </w:p>
    <w:p w14:paraId="130C52E0" w14:textId="77777777" w:rsidR="003A7EA3" w:rsidRPr="003A7EA3" w:rsidRDefault="003A7EA3" w:rsidP="003A7EA3">
      <w:pPr>
        <w:numPr>
          <w:ilvl w:val="0"/>
          <w:numId w:val="20"/>
        </w:numPr>
        <w:spacing w:before="100" w:beforeAutospacing="1" w:after="100" w:afterAutospacing="1"/>
        <w:ind w:left="0"/>
        <w:jc w:val="center"/>
        <w:rPr>
          <w:rStyle w:val="Strong"/>
          <w:rFonts w:ascii="Arial" w:hAnsi="Arial" w:cs="Arial"/>
          <w:b w:val="0"/>
          <w:bCs w:val="0"/>
          <w:color w:val="5F6B73"/>
        </w:rPr>
      </w:pPr>
      <w:r>
        <w:rPr>
          <w:rStyle w:val="Strong"/>
          <w:rFonts w:ascii="Arial" w:hAnsi="Arial" w:cs="Arial"/>
          <w:color w:val="243485"/>
        </w:rPr>
        <w:t>To have the highest expectations and standards.</w:t>
      </w:r>
    </w:p>
    <w:p w14:paraId="5AD4070F" w14:textId="77777777" w:rsidR="003A7EA3" w:rsidRDefault="003A7EA3" w:rsidP="003A7EA3">
      <w:pPr>
        <w:pStyle w:val="FirstParagraph"/>
        <w:ind w:left="720"/>
        <w:rPr>
          <w:rFonts w:ascii="Arial" w:hAnsi="Arial" w:cs="Arial"/>
          <w:color w:val="0070C0"/>
          <w:sz w:val="36"/>
          <w:szCs w:val="36"/>
        </w:rPr>
      </w:pPr>
    </w:p>
    <w:p w14:paraId="131FA052" w14:textId="77777777" w:rsidR="003A7EA3" w:rsidRDefault="003A7EA3" w:rsidP="003A7EA3">
      <w:pPr>
        <w:pStyle w:val="FirstParagraph"/>
        <w:ind w:left="720"/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3A7EA3">
        <w:rPr>
          <w:rFonts w:ascii="Arial" w:hAnsi="Arial" w:cs="Arial"/>
          <w:b/>
          <w:color w:val="002060"/>
          <w:sz w:val="36"/>
          <w:szCs w:val="36"/>
        </w:rPr>
        <w:t>Restrictive Physical Interventions and the Use of Reasonable Force Policy</w:t>
      </w:r>
      <w:bookmarkStart w:id="0" w:name="table-of-contents"/>
    </w:p>
    <w:p w14:paraId="3F562369" w14:textId="77777777" w:rsidR="003A7EA3" w:rsidRDefault="003A7EA3" w:rsidP="003A7EA3">
      <w:pPr>
        <w:pStyle w:val="FirstParagraph"/>
        <w:ind w:left="720"/>
        <w:jc w:val="center"/>
        <w:rPr>
          <w:rFonts w:ascii="Arial" w:hAnsi="Arial" w:cs="Arial"/>
          <w:b/>
          <w:color w:val="002060"/>
          <w:sz w:val="36"/>
          <w:szCs w:val="36"/>
        </w:rPr>
      </w:pPr>
    </w:p>
    <w:p w14:paraId="669940C5" w14:textId="77777777" w:rsidR="00397F02" w:rsidRPr="003A7EA3" w:rsidRDefault="000F0975" w:rsidP="003A7EA3">
      <w:pPr>
        <w:pStyle w:val="FirstParagraph"/>
        <w:ind w:left="720"/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t>Table of Contents</w:t>
      </w:r>
    </w:p>
    <w:p w14:paraId="2056A64D" w14:textId="77777777" w:rsidR="00397F02" w:rsidRDefault="000F0975">
      <w:pPr>
        <w:pStyle w:val="Compact"/>
        <w:numPr>
          <w:ilvl w:val="0"/>
          <w:numId w:val="2"/>
        </w:numPr>
      </w:pPr>
      <w:r>
        <w:t>Policy Statement</w:t>
      </w:r>
    </w:p>
    <w:p w14:paraId="37369E8E" w14:textId="77777777" w:rsidR="00397F02" w:rsidRDefault="000F0975">
      <w:pPr>
        <w:pStyle w:val="Compact"/>
        <w:numPr>
          <w:ilvl w:val="0"/>
          <w:numId w:val="2"/>
        </w:numPr>
      </w:pPr>
      <w:r>
        <w:t>Scope</w:t>
      </w:r>
    </w:p>
    <w:p w14:paraId="456D8B79" w14:textId="77777777" w:rsidR="00397F02" w:rsidRDefault="000F0975">
      <w:pPr>
        <w:pStyle w:val="Compact"/>
        <w:numPr>
          <w:ilvl w:val="0"/>
          <w:numId w:val="2"/>
        </w:numPr>
      </w:pPr>
      <w:r>
        <w:t>Legal and Statutory Framework</w:t>
      </w:r>
    </w:p>
    <w:p w14:paraId="168C6B4A" w14:textId="77777777" w:rsidR="00397F02" w:rsidRDefault="000F0975">
      <w:pPr>
        <w:pStyle w:val="Compact"/>
        <w:numPr>
          <w:ilvl w:val="0"/>
          <w:numId w:val="2"/>
        </w:numPr>
      </w:pPr>
      <w:r>
        <w:t>Definition of Restrictive Physical Intervention</w:t>
      </w:r>
    </w:p>
    <w:p w14:paraId="23FCB08E" w14:textId="77777777" w:rsidR="00397F02" w:rsidRDefault="000F0975">
      <w:pPr>
        <w:pStyle w:val="Compact"/>
        <w:numPr>
          <w:ilvl w:val="0"/>
          <w:numId w:val="2"/>
        </w:numPr>
      </w:pPr>
      <w:r>
        <w:t>Reasonable Force</w:t>
      </w:r>
    </w:p>
    <w:p w14:paraId="300DF3AE" w14:textId="77777777" w:rsidR="00397F02" w:rsidRDefault="000F0975">
      <w:pPr>
        <w:pStyle w:val="Compact"/>
        <w:numPr>
          <w:ilvl w:val="0"/>
          <w:numId w:val="2"/>
        </w:numPr>
      </w:pPr>
      <w:r>
        <w:t>Preventative and De-Escalation Approaches</w:t>
      </w:r>
    </w:p>
    <w:p w14:paraId="224A279D" w14:textId="77777777" w:rsidR="00397F02" w:rsidRDefault="000F0975">
      <w:pPr>
        <w:pStyle w:val="Compact"/>
        <w:numPr>
          <w:ilvl w:val="0"/>
          <w:numId w:val="2"/>
        </w:numPr>
      </w:pPr>
      <w:r>
        <w:t>Contextual Application Across Settings</w:t>
      </w:r>
    </w:p>
    <w:p w14:paraId="11DE7DDE" w14:textId="77777777" w:rsidR="00397F02" w:rsidRDefault="000F0975">
      <w:pPr>
        <w:pStyle w:val="Compact"/>
        <w:numPr>
          <w:ilvl w:val="0"/>
          <w:numId w:val="2"/>
        </w:numPr>
      </w:pPr>
      <w:r>
        <w:t>Authorisation and Staff Training</w:t>
      </w:r>
    </w:p>
    <w:p w14:paraId="1F8F5A3C" w14:textId="77777777" w:rsidR="00397F02" w:rsidRDefault="000F0975">
      <w:pPr>
        <w:pStyle w:val="Compact"/>
        <w:numPr>
          <w:ilvl w:val="0"/>
          <w:numId w:val="2"/>
        </w:numPr>
      </w:pPr>
      <w:r>
        <w:t>Safeguarding and Duty of Care</w:t>
      </w:r>
    </w:p>
    <w:p w14:paraId="59856632" w14:textId="77777777" w:rsidR="00397F02" w:rsidRDefault="000F0975">
      <w:pPr>
        <w:pStyle w:val="Compact"/>
        <w:numPr>
          <w:ilvl w:val="0"/>
          <w:numId w:val="2"/>
        </w:numPr>
      </w:pPr>
      <w:r>
        <w:t>Recording, Body Mapping and CPOMS</w:t>
      </w:r>
    </w:p>
    <w:p w14:paraId="6DAE610E" w14:textId="77777777" w:rsidR="00397F02" w:rsidRDefault="000F0975">
      <w:pPr>
        <w:pStyle w:val="Compact"/>
        <w:numPr>
          <w:ilvl w:val="0"/>
          <w:numId w:val="2"/>
        </w:numPr>
      </w:pPr>
      <w:r>
        <w:t>Post-Incident Support</w:t>
      </w:r>
    </w:p>
    <w:p w14:paraId="55CE4E92" w14:textId="77777777" w:rsidR="00397F02" w:rsidRDefault="000F0975">
      <w:pPr>
        <w:pStyle w:val="Compact"/>
        <w:numPr>
          <w:ilvl w:val="0"/>
          <w:numId w:val="2"/>
        </w:numPr>
      </w:pPr>
      <w:r>
        <w:t>Governance, Monitoring and Accountability</w:t>
      </w:r>
    </w:p>
    <w:p w14:paraId="66A913E0" w14:textId="77777777" w:rsidR="00397F02" w:rsidRDefault="000F0975">
      <w:pPr>
        <w:pStyle w:val="Compact"/>
        <w:numPr>
          <w:ilvl w:val="0"/>
          <w:numId w:val="2"/>
        </w:numPr>
      </w:pPr>
      <w:r>
        <w:t>Roles and Responsibilities</w:t>
      </w:r>
    </w:p>
    <w:p w14:paraId="7F6C543C" w14:textId="77777777" w:rsidR="00397F02" w:rsidRDefault="000F0975">
      <w:pPr>
        <w:pStyle w:val="Compact"/>
        <w:numPr>
          <w:ilvl w:val="0"/>
          <w:numId w:val="2"/>
        </w:numPr>
      </w:pPr>
      <w:r>
        <w:t>Ofsted-Ready Assurance</w:t>
      </w:r>
    </w:p>
    <w:p w14:paraId="79E87628" w14:textId="77777777" w:rsidR="00397F02" w:rsidRDefault="000F0975">
      <w:pPr>
        <w:pStyle w:val="Compact"/>
        <w:numPr>
          <w:ilvl w:val="0"/>
          <w:numId w:val="2"/>
        </w:numPr>
      </w:pPr>
      <w:r>
        <w:t>Appendix A: School-Level Implementation</w:t>
      </w:r>
    </w:p>
    <w:p w14:paraId="6609E02E" w14:textId="77777777" w:rsidR="00397F02" w:rsidRDefault="00000000">
      <w:r>
        <w:pict w14:anchorId="31C0D4D6">
          <v:rect id="_x0000_i1025" style="width:0;height:1.5pt" o:hralign="center" o:hrstd="t" o:hr="t"/>
        </w:pict>
      </w:r>
    </w:p>
    <w:p w14:paraId="23EA2419" w14:textId="77777777" w:rsidR="00397F02" w:rsidRDefault="000F0975">
      <w:pPr>
        <w:pStyle w:val="Heading1"/>
      </w:pPr>
      <w:bookmarkStart w:id="1" w:name="policy-statement"/>
      <w:bookmarkEnd w:id="0"/>
      <w:r>
        <w:t>1. Policy Statement</w:t>
      </w:r>
    </w:p>
    <w:p w14:paraId="68778F52" w14:textId="77777777" w:rsidR="00397F02" w:rsidRDefault="000F0975">
      <w:pPr>
        <w:pStyle w:val="FirstParagraph"/>
      </w:pPr>
      <w:r>
        <w:t xml:space="preserve">Kings Academy Trust is committed to creating safe, caring, and inclusive learning environments. Restrictive physical intervention, including the use of reasonable force, is a </w:t>
      </w:r>
      <w:r>
        <w:rPr>
          <w:b/>
          <w:bCs/>
        </w:rPr>
        <w:t>last resort</w:t>
      </w:r>
      <w:r>
        <w:t xml:space="preserve"> and must be </w:t>
      </w:r>
      <w:r>
        <w:rPr>
          <w:b/>
          <w:bCs/>
        </w:rPr>
        <w:t>lawful, proportionate, necessary, and for the shortest possible time</w:t>
      </w:r>
      <w:r>
        <w:t xml:space="preserve"> to prevent immediate risk of harm. The Trust prioritises </w:t>
      </w:r>
      <w:r>
        <w:rPr>
          <w:b/>
          <w:bCs/>
        </w:rPr>
        <w:t>prevention, de-escalation, and positive behaviour support</w:t>
      </w:r>
      <w:r>
        <w:t>, ensuring all interventions are recorded and monitored.</w:t>
      </w:r>
    </w:p>
    <w:p w14:paraId="4DC23E7D" w14:textId="77777777" w:rsidR="00397F02" w:rsidRDefault="000F0975">
      <w:pPr>
        <w:pStyle w:val="Heading1"/>
      </w:pPr>
      <w:bookmarkStart w:id="2" w:name="scope"/>
      <w:bookmarkEnd w:id="1"/>
      <w:r>
        <w:t>2. Scope</w:t>
      </w:r>
    </w:p>
    <w:p w14:paraId="2FE42B5C" w14:textId="77777777" w:rsidR="00397F02" w:rsidRDefault="000F0975">
      <w:pPr>
        <w:pStyle w:val="FirstParagraph"/>
      </w:pPr>
      <w:r>
        <w:t>This policy applies to: - All Kings Academy Trust schools - All staff, including supply and volunteers - All pupils on roll, including those with SEND</w:t>
      </w:r>
    </w:p>
    <w:p w14:paraId="5F603C1D" w14:textId="77777777" w:rsidR="003A7EA3" w:rsidRPr="003A7EA3" w:rsidRDefault="003A7EA3" w:rsidP="003A7EA3">
      <w:pPr>
        <w:pStyle w:val="BodyText"/>
      </w:pPr>
    </w:p>
    <w:p w14:paraId="09EF209F" w14:textId="77777777" w:rsidR="003A7EA3" w:rsidRDefault="003A7EA3">
      <w:pPr>
        <w:pStyle w:val="Heading1"/>
      </w:pPr>
      <w:bookmarkStart w:id="3" w:name="legal-and-statutory-framework"/>
      <w:bookmarkEnd w:id="2"/>
    </w:p>
    <w:p w14:paraId="35C31F72" w14:textId="77777777" w:rsidR="00397F02" w:rsidRDefault="000F0975">
      <w:pPr>
        <w:pStyle w:val="Heading1"/>
      </w:pPr>
      <w:r>
        <w:t>3. Legal and Statutory Framework</w:t>
      </w:r>
    </w:p>
    <w:p w14:paraId="199A2E49" w14:textId="77777777" w:rsidR="003A7EA3" w:rsidRDefault="000F0975" w:rsidP="00E22D46">
      <w:pPr>
        <w:pStyle w:val="Compact"/>
        <w:numPr>
          <w:ilvl w:val="0"/>
          <w:numId w:val="3"/>
        </w:numPr>
      </w:pPr>
      <w:r>
        <w:t>Education Act 1996</w:t>
      </w:r>
    </w:p>
    <w:p w14:paraId="4AEE6024" w14:textId="77777777" w:rsidR="00397F02" w:rsidRDefault="000F0975">
      <w:pPr>
        <w:pStyle w:val="Compact"/>
        <w:numPr>
          <w:ilvl w:val="0"/>
          <w:numId w:val="3"/>
        </w:numPr>
      </w:pPr>
      <w:r>
        <w:t>Education and Inspections Act 2006 (Section 93)</w:t>
      </w:r>
    </w:p>
    <w:p w14:paraId="35EB12B4" w14:textId="77777777" w:rsidR="00397F02" w:rsidRDefault="000F0975">
      <w:pPr>
        <w:pStyle w:val="Compact"/>
        <w:numPr>
          <w:ilvl w:val="0"/>
          <w:numId w:val="3"/>
        </w:numPr>
      </w:pPr>
      <w:r>
        <w:t xml:space="preserve">DfE guidance: </w:t>
      </w:r>
      <w:r>
        <w:rPr>
          <w:i/>
          <w:iCs/>
        </w:rPr>
        <w:t>Use of Reasonable Force in Schools</w:t>
      </w:r>
      <w:r>
        <w:t xml:space="preserve"> and </w:t>
      </w:r>
      <w:r>
        <w:rPr>
          <w:i/>
          <w:iCs/>
        </w:rPr>
        <w:t>Behaviour in Schools</w:t>
      </w:r>
    </w:p>
    <w:p w14:paraId="16396420" w14:textId="77777777" w:rsidR="00397F02" w:rsidRDefault="000F0975">
      <w:pPr>
        <w:pStyle w:val="Compact"/>
        <w:numPr>
          <w:ilvl w:val="0"/>
          <w:numId w:val="3"/>
        </w:numPr>
      </w:pPr>
      <w:r>
        <w:t>Equality Act 2010</w:t>
      </w:r>
    </w:p>
    <w:p w14:paraId="32C2E635" w14:textId="77777777" w:rsidR="00397F02" w:rsidRDefault="000F0975">
      <w:pPr>
        <w:pStyle w:val="Compact"/>
        <w:numPr>
          <w:ilvl w:val="0"/>
          <w:numId w:val="3"/>
        </w:numPr>
      </w:pPr>
      <w:r>
        <w:t>Human Rights Act 1998</w:t>
      </w:r>
    </w:p>
    <w:p w14:paraId="7A065D23" w14:textId="77777777" w:rsidR="00397F02" w:rsidRDefault="000F0975">
      <w:pPr>
        <w:pStyle w:val="Compact"/>
        <w:numPr>
          <w:ilvl w:val="0"/>
          <w:numId w:val="3"/>
        </w:numPr>
      </w:pPr>
      <w:r>
        <w:t>Keeping Children Safe in Education (KCSIE)</w:t>
      </w:r>
    </w:p>
    <w:p w14:paraId="612FF868" w14:textId="77777777" w:rsidR="00397F02" w:rsidRDefault="000F0975">
      <w:pPr>
        <w:pStyle w:val="Heading1"/>
      </w:pPr>
      <w:bookmarkStart w:id="4" w:name="X6b3e56cbf1161c352dd14c8a11a372d9e8ccc97"/>
      <w:bookmarkEnd w:id="3"/>
      <w:r>
        <w:t>4. Definition of Restrictive Physical Intervention</w:t>
      </w:r>
    </w:p>
    <w:p w14:paraId="08598ED1" w14:textId="77777777" w:rsidR="00397F02" w:rsidRDefault="000F0975">
      <w:pPr>
        <w:pStyle w:val="FirstParagraph"/>
      </w:pPr>
      <w:r>
        <w:t xml:space="preserve">Restrictive physical intervention refers to </w:t>
      </w:r>
      <w:r>
        <w:rPr>
          <w:b/>
          <w:bCs/>
        </w:rPr>
        <w:t>any intentional physical contact</w:t>
      </w:r>
      <w:r>
        <w:t xml:space="preserve"> restricting a pupil’s movement to prevent harm. It may include: - Holding - Guiding - Blocking movement</w:t>
      </w:r>
    </w:p>
    <w:p w14:paraId="6EC8A404" w14:textId="77777777" w:rsidR="00397F02" w:rsidRDefault="000F0975">
      <w:pPr>
        <w:pStyle w:val="BodyText"/>
      </w:pPr>
      <w:r>
        <w:t>Exclusions: - Appropriate physical contact for care or comfort - Physical prompts in teaching - Sports activities with consent</w:t>
      </w:r>
    </w:p>
    <w:p w14:paraId="22492138" w14:textId="77777777" w:rsidR="00397F02" w:rsidRDefault="000F0975">
      <w:pPr>
        <w:pStyle w:val="Heading1"/>
      </w:pPr>
      <w:bookmarkStart w:id="5" w:name="reasonable-force"/>
      <w:bookmarkEnd w:id="4"/>
      <w:r>
        <w:t>5. Reasonable Force</w:t>
      </w:r>
    </w:p>
    <w:p w14:paraId="6A8C2D3E" w14:textId="77777777" w:rsidR="00397F02" w:rsidRDefault="000F0975">
      <w:pPr>
        <w:pStyle w:val="FirstParagraph"/>
      </w:pPr>
      <w:r>
        <w:t xml:space="preserve">Reasonable force is </w:t>
      </w:r>
      <w:r>
        <w:rPr>
          <w:b/>
          <w:bCs/>
        </w:rPr>
        <w:t>no more than is necessary</w:t>
      </w:r>
      <w:r>
        <w:t xml:space="preserve">, applied for </w:t>
      </w:r>
      <w:r>
        <w:rPr>
          <w:b/>
          <w:bCs/>
        </w:rPr>
        <w:t>the shortest time</w:t>
      </w:r>
      <w:r>
        <w:t xml:space="preserve"> to prevent: - Injury to self or others - Serious property damage - Behaviour posing serious risk to good order and discipline</w:t>
      </w:r>
    </w:p>
    <w:p w14:paraId="1EB0A3CE" w14:textId="77777777" w:rsidR="00397F02" w:rsidRDefault="000F0975">
      <w:pPr>
        <w:pStyle w:val="BodyText"/>
      </w:pPr>
      <w:r>
        <w:t>Factors to consider: - Age, size, developmental stage, and SEND needs - Nature and seriousness of risk - Least intrusive option available</w:t>
      </w:r>
    </w:p>
    <w:p w14:paraId="7988C81C" w14:textId="77777777" w:rsidR="00397F02" w:rsidRDefault="000F0975">
      <w:pPr>
        <w:pStyle w:val="BodyText"/>
      </w:pPr>
      <w:r>
        <w:t xml:space="preserve">Force must stop </w:t>
      </w:r>
      <w:r>
        <w:rPr>
          <w:b/>
          <w:bCs/>
        </w:rPr>
        <w:t>as soon as the risk has passed</w:t>
      </w:r>
      <w:r>
        <w:t>.</w:t>
      </w:r>
    </w:p>
    <w:p w14:paraId="0F71D5CF" w14:textId="77777777" w:rsidR="00397F02" w:rsidRDefault="000F0975">
      <w:pPr>
        <w:pStyle w:val="Heading1"/>
      </w:pPr>
      <w:bookmarkStart w:id="6" w:name="X606ccd413395e369dc2008b71946cdf6aafe54f"/>
      <w:bookmarkEnd w:id="5"/>
      <w:r>
        <w:t>6. Preventative and De-Escalation Approaches</w:t>
      </w:r>
    </w:p>
    <w:p w14:paraId="1D240E97" w14:textId="77777777" w:rsidR="00397F02" w:rsidRDefault="000F0975">
      <w:pPr>
        <w:pStyle w:val="FirstParagraph"/>
      </w:pPr>
      <w:r>
        <w:t>Schools will: - Apply clear behaviour expectations - Use trauma-informed and therapeutic approaches - Develop individual behaviour plans and risk assessments - Use verbal de-escalation, sensory regulation, and safe space</w:t>
      </w:r>
    </w:p>
    <w:p w14:paraId="0B5066AA" w14:textId="77777777" w:rsidR="00397F02" w:rsidRDefault="000F0975">
      <w:pPr>
        <w:pStyle w:val="BodyText"/>
      </w:pPr>
      <w:r>
        <w:lastRenderedPageBreak/>
        <w:t xml:space="preserve">Restrictive intervention </w:t>
      </w:r>
      <w:r>
        <w:rPr>
          <w:b/>
          <w:bCs/>
        </w:rPr>
        <w:t>must never</w:t>
      </w:r>
      <w:r>
        <w:t xml:space="preserve"> be used as punishment.</w:t>
      </w:r>
    </w:p>
    <w:p w14:paraId="267F36E4" w14:textId="77777777" w:rsidR="00397F02" w:rsidRDefault="000F0975">
      <w:pPr>
        <w:pStyle w:val="Heading1"/>
      </w:pPr>
      <w:bookmarkStart w:id="7" w:name="contextual-application-across-settings"/>
      <w:bookmarkEnd w:id="6"/>
      <w:r>
        <w:t>7. Contextual Application Across Settings</w:t>
      </w:r>
    </w:p>
    <w:p w14:paraId="796985F7" w14:textId="77777777" w:rsidR="00397F02" w:rsidRDefault="000F0975">
      <w:pPr>
        <w:pStyle w:val="FirstParagraph"/>
      </w:pPr>
      <w:r>
        <w:t xml:space="preserve">Kings Academy Trust recognises the needs of pupils in </w:t>
      </w:r>
      <w:r>
        <w:rPr>
          <w:b/>
          <w:bCs/>
        </w:rPr>
        <w:t>primary, special, and AP settings</w:t>
      </w:r>
      <w:r>
        <w:t>. Interventions must be: - Developmentally appropriate - Reflective of communication and emotional regulation needs - Considerate of trauma history and SEND</w:t>
      </w:r>
    </w:p>
    <w:p w14:paraId="60455D53" w14:textId="77777777" w:rsidR="00397F02" w:rsidRDefault="000F0975">
      <w:pPr>
        <w:pStyle w:val="Heading1"/>
      </w:pPr>
      <w:bookmarkStart w:id="8" w:name="authorisation-and-staff-training"/>
      <w:bookmarkEnd w:id="7"/>
      <w:r>
        <w:t>8. Authorisation and Staff Training</w:t>
      </w:r>
    </w:p>
    <w:p w14:paraId="601A1816" w14:textId="77777777" w:rsidR="00397F02" w:rsidRDefault="000F0975">
      <w:pPr>
        <w:pStyle w:val="Compact"/>
        <w:numPr>
          <w:ilvl w:val="0"/>
          <w:numId w:val="4"/>
        </w:numPr>
      </w:pPr>
      <w:r>
        <w:t>Planned interventions: Only Team Teach–trained staff</w:t>
      </w:r>
    </w:p>
    <w:p w14:paraId="641AE326" w14:textId="77777777" w:rsidR="00397F02" w:rsidRDefault="000F0975">
      <w:pPr>
        <w:pStyle w:val="Compact"/>
        <w:numPr>
          <w:ilvl w:val="0"/>
          <w:numId w:val="4"/>
        </w:numPr>
      </w:pPr>
      <w:r>
        <w:t>Unplanned/emergency: Any staff member if immediate risk</w:t>
      </w:r>
    </w:p>
    <w:p w14:paraId="76891CDE" w14:textId="77777777" w:rsidR="00397F02" w:rsidRDefault="000F0975">
      <w:pPr>
        <w:pStyle w:val="Compact"/>
        <w:numPr>
          <w:ilvl w:val="0"/>
          <w:numId w:val="4"/>
        </w:numPr>
      </w:pPr>
      <w:r>
        <w:t>Schools maintain training records and ensure refresher training</w:t>
      </w:r>
    </w:p>
    <w:p w14:paraId="0525585A" w14:textId="77777777" w:rsidR="00397F02" w:rsidRDefault="000F0975">
      <w:pPr>
        <w:pStyle w:val="Compact"/>
        <w:numPr>
          <w:ilvl w:val="0"/>
          <w:numId w:val="4"/>
        </w:numPr>
      </w:pPr>
      <w:r>
        <w:t>Staff must understand legal powers, safeguarding duties, and relational approaches</w:t>
      </w:r>
    </w:p>
    <w:p w14:paraId="04BB3729" w14:textId="77777777" w:rsidR="00397F02" w:rsidRDefault="000F0975">
      <w:pPr>
        <w:pStyle w:val="Heading1"/>
      </w:pPr>
      <w:bookmarkStart w:id="9" w:name="safeguarding-and-duty-of-care"/>
      <w:bookmarkEnd w:id="8"/>
      <w:r>
        <w:t>9. Safeguarding and Duty of Care</w:t>
      </w:r>
    </w:p>
    <w:p w14:paraId="1D3FD7CB" w14:textId="77777777" w:rsidR="00397F02" w:rsidRDefault="000F0975">
      <w:pPr>
        <w:pStyle w:val="Compact"/>
        <w:numPr>
          <w:ilvl w:val="0"/>
          <w:numId w:val="5"/>
        </w:numPr>
      </w:pPr>
      <w:r>
        <w:t xml:space="preserve">Misuse or inappropriate use of intervention is a </w:t>
      </w:r>
      <w:r>
        <w:rPr>
          <w:b/>
          <w:bCs/>
        </w:rPr>
        <w:t>safeguarding concern</w:t>
      </w:r>
    </w:p>
    <w:p w14:paraId="35464D8E" w14:textId="77777777" w:rsidR="00397F02" w:rsidRDefault="000F0975">
      <w:pPr>
        <w:pStyle w:val="Compact"/>
        <w:numPr>
          <w:ilvl w:val="0"/>
          <w:numId w:val="5"/>
        </w:numPr>
      </w:pPr>
      <w:r>
        <w:t>Interventions must protect dignity, safety, and wellbeing</w:t>
      </w:r>
    </w:p>
    <w:p w14:paraId="651A0D03" w14:textId="77777777" w:rsidR="00397F02" w:rsidRDefault="000F0975">
      <w:pPr>
        <w:pStyle w:val="Compact"/>
        <w:numPr>
          <w:ilvl w:val="0"/>
          <w:numId w:val="5"/>
        </w:numPr>
      </w:pPr>
      <w:r>
        <w:t>Repeated or serious incidents trigger senior review and external agency involvement</w:t>
      </w:r>
    </w:p>
    <w:p w14:paraId="3372106B" w14:textId="77777777" w:rsidR="00397F02" w:rsidRDefault="000F0975">
      <w:pPr>
        <w:pStyle w:val="Heading1"/>
      </w:pPr>
      <w:bookmarkStart w:id="10" w:name="recording-body-mapping-and-cpoms"/>
      <w:bookmarkEnd w:id="9"/>
      <w:r>
        <w:t>10. Recording, Body Mapping and CPOMS</w:t>
      </w:r>
    </w:p>
    <w:p w14:paraId="39ECBB07" w14:textId="77777777" w:rsidR="00397F02" w:rsidRDefault="000F0975">
      <w:pPr>
        <w:pStyle w:val="FirstParagraph"/>
      </w:pPr>
      <w:r>
        <w:t xml:space="preserve">All incidents must be recorded on </w:t>
      </w:r>
      <w:r>
        <w:rPr>
          <w:b/>
          <w:bCs/>
        </w:rPr>
        <w:t>CPOMS</w:t>
      </w:r>
      <w:r>
        <w:t xml:space="preserve"> immediately and include: - Date, time, location - Antecedents and triggers - De-escalation strategies attempted - Intervention used and duration - Outcome and follow-up actions</w:t>
      </w:r>
    </w:p>
    <w:p w14:paraId="49CFD36F" w14:textId="77777777" w:rsidR="00397F02" w:rsidRDefault="000F0975">
      <w:pPr>
        <w:pStyle w:val="Heading2"/>
      </w:pPr>
      <w:bookmarkStart w:id="11" w:name="physical-marks"/>
      <w:r>
        <w:t>Physical Marks</w:t>
      </w:r>
    </w:p>
    <w:p w14:paraId="44EF25A3" w14:textId="77777777" w:rsidR="00397F02" w:rsidRDefault="000F0975">
      <w:pPr>
        <w:pStyle w:val="Compact"/>
        <w:numPr>
          <w:ilvl w:val="0"/>
          <w:numId w:val="6"/>
        </w:numPr>
      </w:pPr>
      <w:r>
        <w:t xml:space="preserve">Any marks or injuries must be recorded on the </w:t>
      </w:r>
      <w:r>
        <w:rPr>
          <w:b/>
          <w:bCs/>
        </w:rPr>
        <w:t>body map function within CPOMS</w:t>
      </w:r>
    </w:p>
    <w:p w14:paraId="2583AFAA" w14:textId="77777777" w:rsidR="00397F02" w:rsidRDefault="000F0975">
      <w:pPr>
        <w:pStyle w:val="Compact"/>
        <w:numPr>
          <w:ilvl w:val="0"/>
          <w:numId w:val="6"/>
        </w:numPr>
      </w:pPr>
      <w:r>
        <w:t>Include factual, objective descriptions</w:t>
      </w:r>
    </w:p>
    <w:p w14:paraId="47F6D13E" w14:textId="77777777" w:rsidR="00397F02" w:rsidRDefault="000F0975">
      <w:pPr>
        <w:pStyle w:val="Compact"/>
        <w:numPr>
          <w:ilvl w:val="0"/>
          <w:numId w:val="6"/>
        </w:numPr>
      </w:pPr>
      <w:r>
        <w:t xml:space="preserve">Reviewed by </w:t>
      </w:r>
      <w:r>
        <w:rPr>
          <w:b/>
          <w:bCs/>
        </w:rPr>
        <w:t>Head of School</w:t>
      </w:r>
      <w:r>
        <w:t xml:space="preserve"> or senior leader</w:t>
      </w:r>
    </w:p>
    <w:p w14:paraId="62C6121C" w14:textId="77777777" w:rsidR="00397F02" w:rsidRDefault="000F0975">
      <w:pPr>
        <w:pStyle w:val="Compact"/>
        <w:numPr>
          <w:ilvl w:val="0"/>
          <w:numId w:val="6"/>
        </w:numPr>
      </w:pPr>
      <w:r>
        <w:t>Parent/carer notified</w:t>
      </w:r>
    </w:p>
    <w:p w14:paraId="63B1AD29" w14:textId="77777777" w:rsidR="003A7EA3" w:rsidRDefault="003A7EA3" w:rsidP="00F166E8">
      <w:pPr>
        <w:pStyle w:val="Compact"/>
        <w:ind w:left="720"/>
      </w:pPr>
    </w:p>
    <w:p w14:paraId="324CFACD" w14:textId="77777777" w:rsidR="00397F02" w:rsidRDefault="000F0975">
      <w:pPr>
        <w:pStyle w:val="Heading1"/>
      </w:pPr>
      <w:bookmarkStart w:id="12" w:name="post-incident-support"/>
      <w:bookmarkEnd w:id="10"/>
      <w:bookmarkEnd w:id="11"/>
      <w:r>
        <w:lastRenderedPageBreak/>
        <w:t>11. Post-Incident Support</w:t>
      </w:r>
    </w:p>
    <w:p w14:paraId="4E3E5C72" w14:textId="77777777" w:rsidR="00397F02" w:rsidRDefault="000F0975">
      <w:pPr>
        <w:pStyle w:val="Compact"/>
        <w:numPr>
          <w:ilvl w:val="0"/>
          <w:numId w:val="7"/>
        </w:numPr>
      </w:pPr>
      <w:r>
        <w:t>Pupils supported to calm, regulate, and repair relationships</w:t>
      </w:r>
    </w:p>
    <w:p w14:paraId="496D5050" w14:textId="77777777" w:rsidR="00397F02" w:rsidRDefault="000F0975">
      <w:pPr>
        <w:pStyle w:val="Compact"/>
        <w:numPr>
          <w:ilvl w:val="0"/>
          <w:numId w:val="7"/>
        </w:numPr>
      </w:pPr>
      <w:r>
        <w:t>Reflection on effectiveness of de-escalation and preventative strategies</w:t>
      </w:r>
    </w:p>
    <w:p w14:paraId="01AEF12C" w14:textId="77777777" w:rsidR="00397F02" w:rsidRDefault="000F0975">
      <w:pPr>
        <w:pStyle w:val="Compact"/>
        <w:numPr>
          <w:ilvl w:val="0"/>
          <w:numId w:val="7"/>
        </w:numPr>
      </w:pPr>
      <w:r>
        <w:t>Review of behaviour/risk plans</w:t>
      </w:r>
    </w:p>
    <w:p w14:paraId="2F66CBE0" w14:textId="77777777" w:rsidR="00397F02" w:rsidRDefault="000F0975">
      <w:pPr>
        <w:pStyle w:val="Compact"/>
        <w:numPr>
          <w:ilvl w:val="0"/>
          <w:numId w:val="7"/>
        </w:numPr>
      </w:pPr>
      <w:r>
        <w:t>Consideration of additional support or external agency involvement for repeat incidents</w:t>
      </w:r>
    </w:p>
    <w:p w14:paraId="15A80E45" w14:textId="77777777" w:rsidR="00397F02" w:rsidRDefault="000F0975">
      <w:pPr>
        <w:pStyle w:val="Heading1"/>
      </w:pPr>
      <w:bookmarkStart w:id="13" w:name="governance-monitoring-and-accountability"/>
      <w:bookmarkEnd w:id="12"/>
      <w:r>
        <w:t>12. Governance, Monitoring and Accountability</w:t>
      </w:r>
    </w:p>
    <w:p w14:paraId="6B3838E4" w14:textId="77777777" w:rsidR="00397F02" w:rsidRDefault="000F0975">
      <w:pPr>
        <w:pStyle w:val="Heading2"/>
      </w:pPr>
      <w:bookmarkStart w:id="14" w:name="school-level-reporting"/>
      <w:r>
        <w:t>School-Level Reporting</w:t>
      </w:r>
    </w:p>
    <w:p w14:paraId="66EB7C23" w14:textId="77777777" w:rsidR="00397F02" w:rsidRDefault="000F0975">
      <w:pPr>
        <w:pStyle w:val="Compact"/>
        <w:numPr>
          <w:ilvl w:val="0"/>
          <w:numId w:val="8"/>
        </w:numPr>
      </w:pPr>
      <w:r>
        <w:t xml:space="preserve">Anonymised termly reports to </w:t>
      </w:r>
      <w:r>
        <w:rPr>
          <w:b/>
          <w:bCs/>
        </w:rPr>
        <w:t>Local Governing Body</w:t>
      </w:r>
    </w:p>
    <w:p w14:paraId="7306278C" w14:textId="77777777" w:rsidR="00397F02" w:rsidRDefault="000F0975">
      <w:pPr>
        <w:pStyle w:val="Compact"/>
        <w:numPr>
          <w:ilvl w:val="0"/>
          <w:numId w:val="8"/>
        </w:numPr>
      </w:pPr>
      <w:r>
        <w:t>Include frequency, patterns, SEND involvement, body map use, safeguarding concerns</w:t>
      </w:r>
    </w:p>
    <w:p w14:paraId="4E282816" w14:textId="77777777" w:rsidR="00397F02" w:rsidRDefault="000F0975">
      <w:pPr>
        <w:pStyle w:val="Compact"/>
        <w:numPr>
          <w:ilvl w:val="0"/>
          <w:numId w:val="8"/>
        </w:numPr>
      </w:pPr>
      <w:r>
        <w:t>Governing Body provides challenge, support, and assurance</w:t>
      </w:r>
    </w:p>
    <w:p w14:paraId="7596A224" w14:textId="77777777" w:rsidR="00397F02" w:rsidRDefault="000F0975">
      <w:pPr>
        <w:pStyle w:val="Heading2"/>
      </w:pPr>
      <w:bookmarkStart w:id="15" w:name="trust-level-reporting"/>
      <w:bookmarkEnd w:id="14"/>
      <w:r>
        <w:t>Trust-Level Reporting</w:t>
      </w:r>
    </w:p>
    <w:p w14:paraId="2ED72A3A" w14:textId="77777777" w:rsidR="00397F02" w:rsidRDefault="000F0975">
      <w:pPr>
        <w:pStyle w:val="Compact"/>
        <w:numPr>
          <w:ilvl w:val="0"/>
          <w:numId w:val="9"/>
        </w:numPr>
      </w:pPr>
      <w:r>
        <w:t xml:space="preserve">Data collated and reported to </w:t>
      </w:r>
      <w:r>
        <w:rPr>
          <w:b/>
          <w:bCs/>
        </w:rPr>
        <w:t>Trustees</w:t>
      </w:r>
    </w:p>
    <w:p w14:paraId="0F7BC352" w14:textId="77777777" w:rsidR="00397F02" w:rsidRDefault="000F0975">
      <w:pPr>
        <w:pStyle w:val="Compact"/>
        <w:numPr>
          <w:ilvl w:val="0"/>
          <w:numId w:val="9"/>
        </w:numPr>
      </w:pPr>
      <w:r>
        <w:t>Include Trust-wide trends, disproportionality, safeguarding themes</w:t>
      </w:r>
    </w:p>
    <w:p w14:paraId="1A00E8DF" w14:textId="77777777" w:rsidR="00397F02" w:rsidRDefault="000F0975">
      <w:pPr>
        <w:pStyle w:val="Compact"/>
        <w:numPr>
          <w:ilvl w:val="0"/>
          <w:numId w:val="9"/>
        </w:numPr>
      </w:pPr>
      <w:r>
        <w:t xml:space="preserve">Oversight by </w:t>
      </w:r>
      <w:r>
        <w:rPr>
          <w:b/>
          <w:bCs/>
        </w:rPr>
        <w:t>Director of Behaviour</w:t>
      </w:r>
      <w:r>
        <w:t xml:space="preserve"> and </w:t>
      </w:r>
      <w:r>
        <w:rPr>
          <w:b/>
          <w:bCs/>
        </w:rPr>
        <w:t>Director of SEND &amp; Inclusion</w:t>
      </w:r>
    </w:p>
    <w:p w14:paraId="2FF282D0" w14:textId="77777777" w:rsidR="00397F02" w:rsidRDefault="000F0975">
      <w:pPr>
        <w:pStyle w:val="Heading1"/>
      </w:pPr>
      <w:bookmarkStart w:id="16" w:name="roles-and-responsibilities"/>
      <w:bookmarkEnd w:id="13"/>
      <w:bookmarkEnd w:id="15"/>
      <w:r>
        <w:t>13. Roles and Responsibilities</w:t>
      </w:r>
    </w:p>
    <w:p w14:paraId="05912A33" w14:textId="77777777" w:rsidR="00397F02" w:rsidRDefault="000F0975">
      <w:pPr>
        <w:pStyle w:val="Heading2"/>
      </w:pPr>
      <w:bookmarkStart w:id="17" w:name="trust-board"/>
      <w:r>
        <w:t>Trust Board</w:t>
      </w:r>
    </w:p>
    <w:p w14:paraId="2D0CA8B1" w14:textId="77777777" w:rsidR="00397F02" w:rsidRDefault="000F0975">
      <w:pPr>
        <w:pStyle w:val="Compact"/>
        <w:numPr>
          <w:ilvl w:val="0"/>
          <w:numId w:val="10"/>
        </w:numPr>
      </w:pPr>
      <w:r>
        <w:t>Approve policy and monitor statutory compliance</w:t>
      </w:r>
    </w:p>
    <w:p w14:paraId="59B050B0" w14:textId="77777777" w:rsidR="00397F02" w:rsidRDefault="000F0975">
      <w:pPr>
        <w:pStyle w:val="Compact"/>
        <w:numPr>
          <w:ilvl w:val="0"/>
          <w:numId w:val="10"/>
        </w:numPr>
      </w:pPr>
      <w:r>
        <w:t>Review Trust-wide data on restrictive interventions</w:t>
      </w:r>
    </w:p>
    <w:p w14:paraId="5C14473A" w14:textId="77777777" w:rsidR="00397F02" w:rsidRDefault="000F0975">
      <w:pPr>
        <w:pStyle w:val="Heading2"/>
      </w:pPr>
      <w:bookmarkStart w:id="18" w:name="executive-headteacher"/>
      <w:bookmarkEnd w:id="17"/>
      <w:r>
        <w:t>Executive Headteacher</w:t>
      </w:r>
    </w:p>
    <w:p w14:paraId="10FD6D5D" w14:textId="77777777" w:rsidR="00397F02" w:rsidRDefault="000F0975">
      <w:pPr>
        <w:pStyle w:val="Compact"/>
        <w:numPr>
          <w:ilvl w:val="0"/>
          <w:numId w:val="11"/>
        </w:numPr>
      </w:pPr>
      <w:r>
        <w:t>Ensure policy implementation across schools</w:t>
      </w:r>
    </w:p>
    <w:p w14:paraId="655954D6" w14:textId="77777777" w:rsidR="00397F02" w:rsidRDefault="000F0975">
      <w:pPr>
        <w:pStyle w:val="Compact"/>
        <w:numPr>
          <w:ilvl w:val="0"/>
          <w:numId w:val="11"/>
        </w:numPr>
      </w:pPr>
      <w:r>
        <w:t>Monitor training and compliance</w:t>
      </w:r>
    </w:p>
    <w:p w14:paraId="2F187D98" w14:textId="77777777" w:rsidR="00397F02" w:rsidRDefault="000F0975">
      <w:pPr>
        <w:pStyle w:val="Compact"/>
        <w:numPr>
          <w:ilvl w:val="0"/>
          <w:numId w:val="11"/>
        </w:numPr>
      </w:pPr>
      <w:r>
        <w:t>Support Heads of School with serious incidents</w:t>
      </w:r>
    </w:p>
    <w:p w14:paraId="5997009E" w14:textId="77777777" w:rsidR="00397F02" w:rsidRDefault="000F0975">
      <w:pPr>
        <w:pStyle w:val="Heading2"/>
      </w:pPr>
      <w:bookmarkStart w:id="19" w:name="head-of-school-headteacher"/>
      <w:bookmarkEnd w:id="18"/>
      <w:r>
        <w:t>Head of School / Headteacher</w:t>
      </w:r>
    </w:p>
    <w:p w14:paraId="10FF836B" w14:textId="77777777" w:rsidR="00397F02" w:rsidRDefault="000F0975">
      <w:pPr>
        <w:pStyle w:val="Compact"/>
        <w:numPr>
          <w:ilvl w:val="0"/>
          <w:numId w:val="12"/>
        </w:numPr>
      </w:pPr>
      <w:r>
        <w:t>Implement and monitor policy locally</w:t>
      </w:r>
    </w:p>
    <w:p w14:paraId="3561676E" w14:textId="77777777" w:rsidR="00397F02" w:rsidRDefault="000F0975">
      <w:pPr>
        <w:pStyle w:val="Compact"/>
        <w:numPr>
          <w:ilvl w:val="0"/>
          <w:numId w:val="12"/>
        </w:numPr>
      </w:pPr>
      <w:r>
        <w:lastRenderedPageBreak/>
        <w:t>Ensure staff are trained and supported</w:t>
      </w:r>
    </w:p>
    <w:p w14:paraId="74C9AC57" w14:textId="77777777" w:rsidR="00397F02" w:rsidRDefault="000F0975">
      <w:pPr>
        <w:pStyle w:val="Compact"/>
        <w:numPr>
          <w:ilvl w:val="0"/>
          <w:numId w:val="12"/>
        </w:numPr>
      </w:pPr>
      <w:r>
        <w:t>Review all incidents and CPOMS records</w:t>
      </w:r>
    </w:p>
    <w:p w14:paraId="77E58D73" w14:textId="77777777" w:rsidR="00397F02" w:rsidRDefault="000F0975">
      <w:pPr>
        <w:pStyle w:val="Heading2"/>
      </w:pPr>
      <w:bookmarkStart w:id="20" w:name="behaviour-lead-school-specific"/>
      <w:bookmarkEnd w:id="19"/>
      <w:r>
        <w:t>Behaviour Lead (School-Specific)</w:t>
      </w:r>
    </w:p>
    <w:p w14:paraId="3C705AC1" w14:textId="77777777" w:rsidR="00397F02" w:rsidRDefault="000F0975">
      <w:pPr>
        <w:pStyle w:val="Compact"/>
        <w:numPr>
          <w:ilvl w:val="0"/>
          <w:numId w:val="13"/>
        </w:numPr>
      </w:pPr>
      <w:r>
        <w:t>Oversee behaviour management strategies</w:t>
      </w:r>
    </w:p>
    <w:p w14:paraId="3D568032" w14:textId="77777777" w:rsidR="00397F02" w:rsidRDefault="000F0975">
      <w:pPr>
        <w:pStyle w:val="Compact"/>
        <w:numPr>
          <w:ilvl w:val="0"/>
          <w:numId w:val="13"/>
        </w:numPr>
      </w:pPr>
      <w:r>
        <w:t>Coordinate individual plans</w:t>
      </w:r>
    </w:p>
    <w:p w14:paraId="3A80CF16" w14:textId="77777777" w:rsidR="00397F02" w:rsidRDefault="000F0975">
      <w:pPr>
        <w:pStyle w:val="Compact"/>
        <w:numPr>
          <w:ilvl w:val="0"/>
          <w:numId w:val="13"/>
        </w:numPr>
      </w:pPr>
      <w:r>
        <w:t>Monitor restrictive intervention use</w:t>
      </w:r>
    </w:p>
    <w:p w14:paraId="7A955F6C" w14:textId="77777777" w:rsidR="00397F02" w:rsidRDefault="000F0975">
      <w:pPr>
        <w:pStyle w:val="Compact"/>
        <w:numPr>
          <w:ilvl w:val="0"/>
          <w:numId w:val="13"/>
        </w:numPr>
      </w:pPr>
      <w:r>
        <w:t>Liaise with parents and external agencies</w:t>
      </w:r>
    </w:p>
    <w:p w14:paraId="4F7AA9AB" w14:textId="77777777" w:rsidR="00397F02" w:rsidRDefault="000F0975">
      <w:pPr>
        <w:pStyle w:val="Heading2"/>
      </w:pPr>
      <w:bookmarkStart w:id="21" w:name="sendco-inclusion-lead"/>
      <w:bookmarkEnd w:id="20"/>
      <w:r>
        <w:t>SENDCo / Inclusion Lead</w:t>
      </w:r>
    </w:p>
    <w:p w14:paraId="2FCBF3A4" w14:textId="77777777" w:rsidR="00397F02" w:rsidRDefault="000F0975">
      <w:pPr>
        <w:pStyle w:val="Compact"/>
        <w:numPr>
          <w:ilvl w:val="0"/>
          <w:numId w:val="14"/>
        </w:numPr>
      </w:pPr>
      <w:r>
        <w:t>Ensure reasonable adjustments for pupils with SEND</w:t>
      </w:r>
    </w:p>
    <w:p w14:paraId="3E4EB158" w14:textId="77777777" w:rsidR="00397F02" w:rsidRDefault="000F0975">
      <w:pPr>
        <w:pStyle w:val="Compact"/>
        <w:numPr>
          <w:ilvl w:val="0"/>
          <w:numId w:val="14"/>
        </w:numPr>
      </w:pPr>
      <w:r>
        <w:t>Contribute to behaviour and risk assessments</w:t>
      </w:r>
    </w:p>
    <w:p w14:paraId="6BF663D8" w14:textId="77777777" w:rsidR="00397F02" w:rsidRDefault="000F0975">
      <w:pPr>
        <w:pStyle w:val="Compact"/>
        <w:numPr>
          <w:ilvl w:val="0"/>
          <w:numId w:val="14"/>
        </w:numPr>
      </w:pPr>
      <w:r>
        <w:t>Liaise with Director of SEND &amp; Inclusion</w:t>
      </w:r>
    </w:p>
    <w:p w14:paraId="66613E5E" w14:textId="77777777" w:rsidR="00397F02" w:rsidRDefault="000F0975">
      <w:pPr>
        <w:pStyle w:val="Heading2"/>
      </w:pPr>
      <w:bookmarkStart w:id="22" w:name="director-of-behaviour"/>
      <w:bookmarkEnd w:id="21"/>
      <w:r>
        <w:t>Director of Behaviour</w:t>
      </w:r>
    </w:p>
    <w:p w14:paraId="3BA28161" w14:textId="77777777" w:rsidR="00397F02" w:rsidRDefault="000F0975">
      <w:pPr>
        <w:pStyle w:val="Compact"/>
        <w:numPr>
          <w:ilvl w:val="0"/>
          <w:numId w:val="15"/>
        </w:numPr>
      </w:pPr>
      <w:r>
        <w:t>Monitor Trust-wide data</w:t>
      </w:r>
    </w:p>
    <w:p w14:paraId="644A28EC" w14:textId="77777777" w:rsidR="00397F02" w:rsidRDefault="000F0975">
      <w:pPr>
        <w:pStyle w:val="Compact"/>
        <w:numPr>
          <w:ilvl w:val="0"/>
          <w:numId w:val="15"/>
        </w:numPr>
      </w:pPr>
      <w:r>
        <w:t>Analyse trends and patterns</w:t>
      </w:r>
    </w:p>
    <w:p w14:paraId="0C10D8E7" w14:textId="77777777" w:rsidR="00397F02" w:rsidRDefault="000F0975">
      <w:pPr>
        <w:pStyle w:val="Compact"/>
        <w:numPr>
          <w:ilvl w:val="0"/>
          <w:numId w:val="15"/>
        </w:numPr>
      </w:pPr>
      <w:r>
        <w:t>Support schools in reducing restrictive interventions</w:t>
      </w:r>
    </w:p>
    <w:p w14:paraId="7D5DD05C" w14:textId="77777777" w:rsidR="00397F02" w:rsidRDefault="000F0975">
      <w:pPr>
        <w:pStyle w:val="Compact"/>
        <w:numPr>
          <w:ilvl w:val="0"/>
          <w:numId w:val="15"/>
        </w:numPr>
      </w:pPr>
      <w:r>
        <w:t>Report to Trustees</w:t>
      </w:r>
    </w:p>
    <w:p w14:paraId="130F4D57" w14:textId="77777777" w:rsidR="00397F02" w:rsidRDefault="000F0975">
      <w:pPr>
        <w:pStyle w:val="Heading2"/>
      </w:pPr>
      <w:bookmarkStart w:id="23" w:name="director-of-send-inclusion"/>
      <w:bookmarkEnd w:id="22"/>
      <w:r>
        <w:t>Director of SEND &amp; Inclusion</w:t>
      </w:r>
    </w:p>
    <w:p w14:paraId="4D16B615" w14:textId="77777777" w:rsidR="00397F02" w:rsidRDefault="000F0975">
      <w:pPr>
        <w:pStyle w:val="Compact"/>
        <w:numPr>
          <w:ilvl w:val="0"/>
          <w:numId w:val="16"/>
        </w:numPr>
      </w:pPr>
      <w:r>
        <w:t>Monitor use of restrictive interventions for pupils with SEND</w:t>
      </w:r>
    </w:p>
    <w:p w14:paraId="7B54154C" w14:textId="77777777" w:rsidR="00397F02" w:rsidRDefault="000F0975">
      <w:pPr>
        <w:pStyle w:val="Compact"/>
        <w:numPr>
          <w:ilvl w:val="0"/>
          <w:numId w:val="16"/>
        </w:numPr>
      </w:pPr>
      <w:r>
        <w:t>Ensure inclusive, needs-led practice</w:t>
      </w:r>
    </w:p>
    <w:p w14:paraId="63C2045C" w14:textId="77777777" w:rsidR="00397F02" w:rsidRDefault="000F0975">
      <w:pPr>
        <w:pStyle w:val="Compact"/>
        <w:numPr>
          <w:ilvl w:val="0"/>
          <w:numId w:val="16"/>
        </w:numPr>
      </w:pPr>
      <w:r>
        <w:t>Support schools with complex cases</w:t>
      </w:r>
    </w:p>
    <w:p w14:paraId="252E3216" w14:textId="77777777" w:rsidR="00397F02" w:rsidRDefault="000F0975">
      <w:pPr>
        <w:pStyle w:val="Compact"/>
        <w:numPr>
          <w:ilvl w:val="0"/>
          <w:numId w:val="16"/>
        </w:numPr>
      </w:pPr>
      <w:r>
        <w:t>Contribute to Trust-level reporting</w:t>
      </w:r>
    </w:p>
    <w:p w14:paraId="784448B6" w14:textId="77777777" w:rsidR="00397F02" w:rsidRDefault="000F0975">
      <w:pPr>
        <w:pStyle w:val="Heading1"/>
      </w:pPr>
      <w:bookmarkStart w:id="24" w:name="ofsted-ready-assurance"/>
      <w:bookmarkEnd w:id="16"/>
      <w:bookmarkEnd w:id="23"/>
      <w:r>
        <w:t>14. Ofsted-Ready Assurance</w:t>
      </w:r>
    </w:p>
    <w:p w14:paraId="6EA65C56" w14:textId="77777777" w:rsidR="00397F02" w:rsidRDefault="000F0975">
      <w:pPr>
        <w:pStyle w:val="FirstParagraph"/>
      </w:pPr>
      <w:r>
        <w:t>Across all settings, Kings Academy Trust ensures: - Lawful, proportionate use of restrictive interventions - Safeguarding, dignity, and wellbeing are prioritised - Interventions are rarely used and reduced over time - Data is monitored and acted upon</w:t>
      </w:r>
    </w:p>
    <w:p w14:paraId="7F313092" w14:textId="77777777" w:rsidR="003A7EA3" w:rsidRDefault="003A7EA3" w:rsidP="003A7EA3">
      <w:pPr>
        <w:pStyle w:val="BodyText"/>
      </w:pPr>
    </w:p>
    <w:p w14:paraId="1D214F72" w14:textId="77777777" w:rsidR="003A7EA3" w:rsidRDefault="003A7EA3" w:rsidP="003A7EA3">
      <w:pPr>
        <w:pStyle w:val="BodyText"/>
      </w:pPr>
    </w:p>
    <w:p w14:paraId="21F18C60" w14:textId="77777777" w:rsidR="003A7EA3" w:rsidRDefault="003A7EA3" w:rsidP="003A7EA3">
      <w:pPr>
        <w:pStyle w:val="BodyText"/>
      </w:pPr>
    </w:p>
    <w:p w14:paraId="4AA30F0C" w14:textId="77777777" w:rsidR="003A7EA3" w:rsidRPr="003A7EA3" w:rsidRDefault="003A7EA3" w:rsidP="003A7EA3">
      <w:pPr>
        <w:pStyle w:val="BodyText"/>
      </w:pPr>
    </w:p>
    <w:p w14:paraId="6C8526D5" w14:textId="77777777" w:rsidR="00397F02" w:rsidRDefault="000F0975">
      <w:pPr>
        <w:pStyle w:val="Heading1"/>
      </w:pPr>
      <w:bookmarkStart w:id="25" w:name="appendix-a-school-level-implementation"/>
      <w:bookmarkEnd w:id="24"/>
      <w:r>
        <w:t>15. Appendix A: School-Level Implementation</w:t>
      </w:r>
    </w:p>
    <w:p w14:paraId="4B2FB3A9" w14:textId="4EEEFCFA" w:rsidR="00397F02" w:rsidRDefault="000F0975">
      <w:pPr>
        <w:pStyle w:val="FirstParagraph"/>
      </w:pPr>
      <w:r>
        <w:rPr>
          <w:b/>
          <w:bCs/>
        </w:rPr>
        <w:t>School Name:</w:t>
      </w:r>
      <w:r>
        <w:t xml:space="preserve"> </w:t>
      </w:r>
      <w:r w:rsidR="001B76D9">
        <w:t>Acer</w:t>
      </w:r>
      <w:r w:rsidR="00E90D8A">
        <w:t xml:space="preserve"> Academy</w:t>
      </w:r>
      <w:r>
        <w:br/>
      </w:r>
      <w:r>
        <w:rPr>
          <w:b/>
          <w:bCs/>
        </w:rPr>
        <w:t xml:space="preserve">Head </w:t>
      </w:r>
      <w:r w:rsidR="001B76D9">
        <w:rPr>
          <w:b/>
          <w:bCs/>
        </w:rPr>
        <w:t>Teacher</w:t>
      </w:r>
      <w:r>
        <w:rPr>
          <w:b/>
          <w:bCs/>
        </w:rPr>
        <w:t>:</w:t>
      </w:r>
      <w:r>
        <w:t xml:space="preserve"> </w:t>
      </w:r>
      <w:proofErr w:type="spellStart"/>
      <w:r w:rsidR="00E90D8A">
        <w:t>Mr</w:t>
      </w:r>
      <w:proofErr w:type="spellEnd"/>
      <w:r w:rsidR="00E90D8A">
        <w:t xml:space="preserve"> </w:t>
      </w:r>
      <w:r w:rsidR="001B76D9">
        <w:t>G Owen</w:t>
      </w:r>
      <w:r w:rsidR="00E90D8A">
        <w:t xml:space="preserve"> </w:t>
      </w:r>
      <w:r>
        <w:br/>
      </w:r>
      <w:proofErr w:type="spellStart"/>
      <w:r>
        <w:rPr>
          <w:b/>
          <w:bCs/>
        </w:rPr>
        <w:t>Behaviour</w:t>
      </w:r>
      <w:proofErr w:type="spellEnd"/>
      <w:r>
        <w:rPr>
          <w:b/>
          <w:bCs/>
        </w:rPr>
        <w:t xml:space="preserve"> Lead:</w:t>
      </w:r>
      <w:r>
        <w:t xml:space="preserve"> </w:t>
      </w:r>
      <w:proofErr w:type="spellStart"/>
      <w:r w:rsidR="001B76D9">
        <w:t>Mrs</w:t>
      </w:r>
      <w:proofErr w:type="spellEnd"/>
      <w:r w:rsidR="001B76D9">
        <w:t xml:space="preserve"> J Brooks</w:t>
      </w:r>
      <w:r>
        <w:br/>
      </w:r>
      <w:r>
        <w:rPr>
          <w:b/>
          <w:bCs/>
        </w:rPr>
        <w:t>SENDCo / Inclusion Lead:</w:t>
      </w:r>
      <w:r>
        <w:t xml:space="preserve"> </w:t>
      </w:r>
      <w:proofErr w:type="spellStart"/>
      <w:r w:rsidR="001B76D9">
        <w:t>Mrs</w:t>
      </w:r>
      <w:proofErr w:type="spellEnd"/>
      <w:r w:rsidR="001B76D9">
        <w:t xml:space="preserve"> M Navin</w:t>
      </w:r>
    </w:p>
    <w:p w14:paraId="000C4506" w14:textId="77777777" w:rsidR="00397F02" w:rsidRDefault="000F0975">
      <w:pPr>
        <w:pStyle w:val="Heading3"/>
      </w:pPr>
      <w:bookmarkStart w:id="26" w:name="recording-requirements"/>
      <w:r>
        <w:t>Recording Requirements</w:t>
      </w:r>
    </w:p>
    <w:p w14:paraId="71C0967F" w14:textId="77777777" w:rsidR="00397F02" w:rsidRDefault="000F0975">
      <w:pPr>
        <w:pStyle w:val="Compact"/>
        <w:numPr>
          <w:ilvl w:val="0"/>
          <w:numId w:val="17"/>
        </w:numPr>
      </w:pPr>
      <w:r>
        <w:t>CPOMS for all incidents</w:t>
      </w:r>
    </w:p>
    <w:p w14:paraId="045A837F" w14:textId="77777777" w:rsidR="00397F02" w:rsidRDefault="000F0975">
      <w:pPr>
        <w:pStyle w:val="Compact"/>
        <w:numPr>
          <w:ilvl w:val="0"/>
          <w:numId w:val="17"/>
        </w:numPr>
      </w:pPr>
      <w:r>
        <w:t>Body map function for any physical marks</w:t>
      </w:r>
    </w:p>
    <w:p w14:paraId="1F735BE8" w14:textId="77777777" w:rsidR="00397F02" w:rsidRDefault="000F0975">
      <w:pPr>
        <w:pStyle w:val="Compact"/>
        <w:numPr>
          <w:ilvl w:val="0"/>
          <w:numId w:val="17"/>
        </w:numPr>
      </w:pPr>
      <w:r>
        <w:t>Senior leader review</w:t>
      </w:r>
    </w:p>
    <w:p w14:paraId="279992AC" w14:textId="77777777" w:rsidR="00397F02" w:rsidRDefault="000F0975">
      <w:pPr>
        <w:pStyle w:val="Compact"/>
        <w:numPr>
          <w:ilvl w:val="0"/>
          <w:numId w:val="17"/>
        </w:numPr>
      </w:pPr>
      <w:r>
        <w:t>Parent/carer communication</w:t>
      </w:r>
    </w:p>
    <w:p w14:paraId="499C9D96" w14:textId="77777777" w:rsidR="00397F02" w:rsidRDefault="000F0975">
      <w:pPr>
        <w:pStyle w:val="Heading3"/>
      </w:pPr>
      <w:bookmarkStart w:id="27" w:name="post-incident-review"/>
      <w:bookmarkEnd w:id="26"/>
      <w:r>
        <w:t>Post-Incident Review</w:t>
      </w:r>
    </w:p>
    <w:p w14:paraId="185659D0" w14:textId="77777777" w:rsidR="00397F02" w:rsidRDefault="000F0975">
      <w:pPr>
        <w:pStyle w:val="Compact"/>
        <w:numPr>
          <w:ilvl w:val="0"/>
          <w:numId w:val="18"/>
        </w:numPr>
      </w:pPr>
      <w:r>
        <w:t>Pupil emotional support and regulation</w:t>
      </w:r>
    </w:p>
    <w:p w14:paraId="43C03DA1" w14:textId="77777777" w:rsidR="00397F02" w:rsidRDefault="000F0975">
      <w:pPr>
        <w:pStyle w:val="Compact"/>
        <w:numPr>
          <w:ilvl w:val="0"/>
          <w:numId w:val="18"/>
        </w:numPr>
      </w:pPr>
      <w:r>
        <w:t>Staff debrief</w:t>
      </w:r>
    </w:p>
    <w:p w14:paraId="410924C0" w14:textId="77777777" w:rsidR="00397F02" w:rsidRDefault="000F0975">
      <w:pPr>
        <w:pStyle w:val="Compact"/>
        <w:numPr>
          <w:ilvl w:val="0"/>
          <w:numId w:val="18"/>
        </w:numPr>
      </w:pPr>
      <w:r>
        <w:t>Review and update behaviour/risk plans</w:t>
      </w:r>
    </w:p>
    <w:p w14:paraId="16D3BCBC" w14:textId="77777777" w:rsidR="00397F02" w:rsidRDefault="000F0975">
      <w:pPr>
        <w:pStyle w:val="Compact"/>
        <w:numPr>
          <w:ilvl w:val="0"/>
          <w:numId w:val="18"/>
        </w:numPr>
      </w:pPr>
      <w:r>
        <w:t>Escalation to Trust leaders if repeated or serious incidents</w:t>
      </w:r>
    </w:p>
    <w:p w14:paraId="53FC29C0" w14:textId="77777777" w:rsidR="00397F02" w:rsidRDefault="000F0975">
      <w:pPr>
        <w:pStyle w:val="Heading3"/>
      </w:pPr>
      <w:bookmarkStart w:id="28" w:name="monitoring-and-review"/>
      <w:bookmarkEnd w:id="27"/>
      <w:r>
        <w:t>Monitoring and Review</w:t>
      </w:r>
    </w:p>
    <w:p w14:paraId="0BDA8019" w14:textId="77777777" w:rsidR="00397F02" w:rsidRDefault="000F0975">
      <w:pPr>
        <w:pStyle w:val="Compact"/>
        <w:numPr>
          <w:ilvl w:val="0"/>
          <w:numId w:val="19"/>
        </w:numPr>
      </w:pPr>
      <w:r>
        <w:t>Reviewed termly by school leadership</w:t>
      </w:r>
    </w:p>
    <w:p w14:paraId="5870EE49" w14:textId="77777777" w:rsidR="00397F02" w:rsidRDefault="000F0975">
      <w:pPr>
        <w:pStyle w:val="Compact"/>
        <w:numPr>
          <w:ilvl w:val="0"/>
          <w:numId w:val="19"/>
        </w:numPr>
      </w:pPr>
      <w:r>
        <w:t>Included in governor reports</w:t>
      </w:r>
    </w:p>
    <w:p w14:paraId="7F7250FD" w14:textId="77777777" w:rsidR="00397F02" w:rsidRDefault="000F0975">
      <w:pPr>
        <w:pStyle w:val="Compact"/>
        <w:numPr>
          <w:ilvl w:val="0"/>
          <w:numId w:val="19"/>
        </w:numPr>
      </w:pPr>
      <w:r>
        <w:t>Reviewed annually or following DfE updates</w:t>
      </w:r>
      <w:bookmarkEnd w:id="25"/>
      <w:bookmarkEnd w:id="28"/>
    </w:p>
    <w:sectPr w:rsidR="00397F02">
      <w:footerReference w:type="default" r:id="rId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2F2C" w14:textId="77777777" w:rsidR="00547564" w:rsidRDefault="00547564" w:rsidP="003A7EA3">
      <w:pPr>
        <w:spacing w:after="0"/>
      </w:pPr>
      <w:r>
        <w:separator/>
      </w:r>
    </w:p>
  </w:endnote>
  <w:endnote w:type="continuationSeparator" w:id="0">
    <w:p w14:paraId="6BD5BD86" w14:textId="77777777" w:rsidR="00547564" w:rsidRDefault="00547564" w:rsidP="003A7E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47BF" w14:textId="41D619FE" w:rsidR="003A7EA3" w:rsidRDefault="003A7EA3" w:rsidP="003A7EA3">
    <w:pPr>
      <w:pStyle w:val="FirstParagraph"/>
    </w:pPr>
    <w:r>
      <w:rPr>
        <w:b/>
        <w:bCs/>
      </w:rPr>
      <w:t>Status:</w:t>
    </w:r>
    <w:r>
      <w:t xml:space="preserve"> Trust-wide Statutory Policy</w:t>
    </w:r>
    <w:r>
      <w:br/>
    </w:r>
    <w:r>
      <w:rPr>
        <w:b/>
        <w:bCs/>
      </w:rPr>
      <w:t>Approved by:</w:t>
    </w:r>
    <w:r>
      <w:t xml:space="preserve"> Kings Academy Trust Board</w:t>
    </w:r>
    <w:r>
      <w:br/>
    </w:r>
    <w:r>
      <w:rPr>
        <w:b/>
        <w:bCs/>
      </w:rPr>
      <w:t>Review cycle:</w:t>
    </w:r>
    <w:r>
      <w:t xml:space="preserve"> Annual </w:t>
    </w:r>
    <w:r>
      <w:br/>
    </w:r>
    <w:r>
      <w:rPr>
        <w:b/>
        <w:bCs/>
      </w:rPr>
      <w:t>Next review:</w:t>
    </w:r>
    <w:r>
      <w:t xml:space="preserve"> April 2027</w:t>
    </w:r>
  </w:p>
  <w:p w14:paraId="3A8E70F5" w14:textId="77777777" w:rsidR="003A7EA3" w:rsidRDefault="003A7EA3">
    <w:pPr>
      <w:pStyle w:val="Footer"/>
    </w:pPr>
  </w:p>
  <w:p w14:paraId="0590498A" w14:textId="77777777" w:rsidR="003A7EA3" w:rsidRDefault="003A7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3AC5" w14:textId="77777777" w:rsidR="00547564" w:rsidRDefault="00547564" w:rsidP="003A7EA3">
      <w:pPr>
        <w:spacing w:after="0"/>
      </w:pPr>
      <w:r>
        <w:separator/>
      </w:r>
    </w:p>
  </w:footnote>
  <w:footnote w:type="continuationSeparator" w:id="0">
    <w:p w14:paraId="5C7E7FD5" w14:textId="77777777" w:rsidR="00547564" w:rsidRDefault="00547564" w:rsidP="003A7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F4AD04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43005A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F9CED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C280F4E"/>
    <w:multiLevelType w:val="multilevel"/>
    <w:tmpl w:val="C846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525181">
    <w:abstractNumId w:val="0"/>
  </w:num>
  <w:num w:numId="2" w16cid:durableId="2094230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711997">
    <w:abstractNumId w:val="1"/>
  </w:num>
  <w:num w:numId="4" w16cid:durableId="1564027066">
    <w:abstractNumId w:val="1"/>
  </w:num>
  <w:num w:numId="5" w16cid:durableId="511147442">
    <w:abstractNumId w:val="1"/>
  </w:num>
  <w:num w:numId="6" w16cid:durableId="839738517">
    <w:abstractNumId w:val="1"/>
  </w:num>
  <w:num w:numId="7" w16cid:durableId="747187303">
    <w:abstractNumId w:val="1"/>
  </w:num>
  <w:num w:numId="8" w16cid:durableId="1357655875">
    <w:abstractNumId w:val="1"/>
  </w:num>
  <w:num w:numId="9" w16cid:durableId="2117674722">
    <w:abstractNumId w:val="1"/>
  </w:num>
  <w:num w:numId="10" w16cid:durableId="1582593765">
    <w:abstractNumId w:val="1"/>
  </w:num>
  <w:num w:numId="11" w16cid:durableId="1331443389">
    <w:abstractNumId w:val="1"/>
  </w:num>
  <w:num w:numId="12" w16cid:durableId="640379905">
    <w:abstractNumId w:val="1"/>
  </w:num>
  <w:num w:numId="13" w16cid:durableId="1916084236">
    <w:abstractNumId w:val="1"/>
  </w:num>
  <w:num w:numId="14" w16cid:durableId="1260063676">
    <w:abstractNumId w:val="1"/>
  </w:num>
  <w:num w:numId="15" w16cid:durableId="1241408960">
    <w:abstractNumId w:val="1"/>
  </w:num>
  <w:num w:numId="16" w16cid:durableId="650015567">
    <w:abstractNumId w:val="1"/>
  </w:num>
  <w:num w:numId="17" w16cid:durableId="1572691280">
    <w:abstractNumId w:val="1"/>
  </w:num>
  <w:num w:numId="18" w16cid:durableId="2106264414">
    <w:abstractNumId w:val="1"/>
  </w:num>
  <w:num w:numId="19" w16cid:durableId="741178316">
    <w:abstractNumId w:val="1"/>
  </w:num>
  <w:num w:numId="20" w16cid:durableId="1704086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02"/>
    <w:rsid w:val="000F0975"/>
    <w:rsid w:val="000F27D7"/>
    <w:rsid w:val="001B76D9"/>
    <w:rsid w:val="00397F02"/>
    <w:rsid w:val="003A7EA3"/>
    <w:rsid w:val="004C1680"/>
    <w:rsid w:val="00547564"/>
    <w:rsid w:val="006033F4"/>
    <w:rsid w:val="007E7FA0"/>
    <w:rsid w:val="009322D3"/>
    <w:rsid w:val="00A013D3"/>
    <w:rsid w:val="00E90D8A"/>
    <w:rsid w:val="00EE2AF5"/>
    <w:rsid w:val="00F1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79129"/>
  <w15:docId w15:val="{038CB2AC-642E-42F7-A30E-4C83E5D5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semiHidden/>
    <w:unhideWhenUsed/>
    <w:rsid w:val="003A7E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3A7EA3"/>
    <w:rPr>
      <w:b/>
      <w:bCs/>
    </w:rPr>
  </w:style>
  <w:style w:type="paragraph" w:styleId="Header">
    <w:name w:val="header"/>
    <w:basedOn w:val="Normal"/>
    <w:link w:val="HeaderChar"/>
    <w:unhideWhenUsed/>
    <w:rsid w:val="003A7EA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A7EA3"/>
  </w:style>
  <w:style w:type="paragraph" w:styleId="Footer">
    <w:name w:val="footer"/>
    <w:basedOn w:val="Normal"/>
    <w:link w:val="FooterChar"/>
    <w:uiPriority w:val="99"/>
    <w:unhideWhenUsed/>
    <w:rsid w:val="003A7EA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C56E-4C3C-4CE0-A85C-15D3C8AD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Navin</dc:creator>
  <cp:keywords/>
  <cp:lastModifiedBy>Sarah Egan</cp:lastModifiedBy>
  <cp:revision>3</cp:revision>
  <dcterms:created xsi:type="dcterms:W3CDTF">2026-03-20T11:15:00Z</dcterms:created>
  <dcterms:modified xsi:type="dcterms:W3CDTF">2026-03-20T11:16:00Z</dcterms:modified>
</cp:coreProperties>
</file>