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B3" w:rsidRPr="00F57FB3" w:rsidRDefault="00F57FB3" w:rsidP="00F57FB3">
      <w:pPr>
        <w:spacing w:before="100" w:beforeAutospacing="1" w:after="100" w:afterAutospacing="1" w:line="240" w:lineRule="auto"/>
        <w:outlineLvl w:val="0"/>
        <w:rPr>
          <w:rFonts w:ascii="Calibri" w:eastAsia="Times New Roman" w:hAnsi="Calibri" w:cs="Calibri"/>
          <w:b/>
          <w:bCs/>
          <w:kern w:val="36"/>
          <w:sz w:val="48"/>
          <w:szCs w:val="48"/>
          <w:lang w:eastAsia="en-GB"/>
        </w:rPr>
      </w:pPr>
      <w:r w:rsidRPr="00F57FB3">
        <w:rPr>
          <w:rFonts w:ascii="Calibri" w:eastAsia="Times New Roman" w:hAnsi="Calibri" w:cs="Calibri"/>
          <w:b/>
          <w:bCs/>
          <w:kern w:val="36"/>
          <w:sz w:val="48"/>
          <w:szCs w:val="48"/>
          <w:lang w:eastAsia="en-GB"/>
        </w:rPr>
        <w:t xml:space="preserve">PSHE </w:t>
      </w:r>
      <w:r>
        <w:rPr>
          <w:rFonts w:ascii="Calibri" w:eastAsia="Times New Roman" w:hAnsi="Calibri" w:cs="Calibri"/>
          <w:b/>
          <w:bCs/>
          <w:kern w:val="36"/>
          <w:sz w:val="48"/>
          <w:szCs w:val="48"/>
          <w:lang w:eastAsia="en-GB"/>
        </w:rPr>
        <w:t xml:space="preserve">Subject Information </w: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1. Purpose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Personal, Social, Health and Economic (PSHE) education supports pupils to develop the knowledge, skills and attitudes needed to lead safe, healthy and fulfilling lives.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curriculum helps pupils understand themselves, develop positive relationships and navigate the wider world safely and responsibly. PSHE also plays an important role in supporting safeguarding and pupils’ wider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Relationships and Sex Education (RSE) is delivered in accordance with the school’s separate RSE Policy. This document outlines the school’s wider PSHE curriculum and how it contributes to safeguarding and personal development.</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5"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2. Statutory Context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supports the delivery of statutory Relationships Education and Health Education.</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school delivers Relationships and Sex Education in line with statutory guidance. Full details of how RSE is delivered can be found in the school’s separate RSE Policy.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policy should therefore be read alongside the school’s RSE Policy.</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6"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3. Importance of PSHE in a SEND Setting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For many pupils with special educational needs and disabilities, explicit teaching of social understanding, safety, independence and relationships is particularly important.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therefore focuses on the most important knowledge and practical strategies pupils need in order to stay safe, develop healthy relationships and prepare for adult life.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Learning is structured, revisited regularly and supported through clear examples, discussion and practical scenarios so pupils can apply learning in real-life situations.</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7"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4. Curriculum Structure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lastRenderedPageBreak/>
        <w:t>The PSHE curriculum is carefully sequenced so that knowledge and skills build progressively as pupils move through the school.</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To ensure coherence and clarity, the curriculum is organised into six overarching strands which are revisited over time.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Life Beyond School</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focuses on preparing pupils for adulthood, further education, employment and independent living. Pupils explore careers, workplace expectations, financial awareness and independence.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Health and Well-being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physical health, mental health and emotional wellbeing. Pupils learn about managing emotions, healthy lifestyles, resilience and seeking support.</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Relationships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xml:space="preserve">This strand focuses on developing positive and respectful relationships including friendships, family relationships, communication and boundaries. </w:t>
      </w:r>
      <w:r>
        <w:rPr>
          <w:rFonts w:ascii="Calibri" w:eastAsia="Times New Roman" w:hAnsi="Calibri" w:cs="Calibri"/>
          <w:sz w:val="24"/>
          <w:szCs w:val="24"/>
          <w:lang w:eastAsia="en-GB"/>
        </w:rPr>
        <w:t xml:space="preserve">RSE is delivered through this strand. </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Staying Safe On and Offline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helps pupils recognise risks and develop strategies to keep themselves safe both in the real world and online. Topics include online safety, recognising exploitation and managing peer pressure.</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Celebrating Diversity and Equality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and respect diversity, challenge discrimination and recognise the importance of equality and inclusion.</w:t>
      </w:r>
    </w:p>
    <w:p w:rsidR="00F57FB3" w:rsidRPr="00F57FB3" w:rsidRDefault="00F57FB3" w:rsidP="00F57FB3">
      <w:pPr>
        <w:spacing w:before="100" w:beforeAutospacing="1" w:after="100" w:afterAutospacing="1" w:line="240" w:lineRule="auto"/>
        <w:outlineLvl w:val="2"/>
        <w:rPr>
          <w:rFonts w:ascii="Calibri" w:eastAsia="Times New Roman" w:hAnsi="Calibri" w:cs="Calibri"/>
          <w:b/>
          <w:bCs/>
          <w:sz w:val="27"/>
          <w:szCs w:val="27"/>
          <w:lang w:eastAsia="en-GB"/>
        </w:rPr>
      </w:pPr>
      <w:r w:rsidRPr="00F57FB3">
        <w:rPr>
          <w:rFonts w:ascii="Calibri" w:eastAsia="Times New Roman" w:hAnsi="Calibri" w:cs="Calibri"/>
          <w:b/>
          <w:bCs/>
          <w:sz w:val="27"/>
          <w:szCs w:val="27"/>
          <w:lang w:eastAsia="en-GB"/>
        </w:rPr>
        <w:t>Rights, Responsibilities and British Values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strand supports pupils to understand their role within society including laws, rights, responsibilities, democracy and respect for others.</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8"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5. Contextual Safeguarding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Safeguarding risks affecting young people can change throughout the academic year. The school therefore includes a flexible contextual safeguarding block within the PSHE programme.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lastRenderedPageBreak/>
        <w:t>This allows additional safeguarding lessons to be delivered when concerns arise that affect the pupil cohort or the local community.</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Topics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group chats and social media behaviour</w:t>
      </w:r>
      <w:r w:rsidRPr="00F57FB3">
        <w:rPr>
          <w:rFonts w:ascii="Calibri" w:eastAsia="Times New Roman" w:hAnsi="Calibri" w:cs="Calibri"/>
          <w:sz w:val="24"/>
          <w:szCs w:val="24"/>
          <w:lang w:eastAsia="en-GB"/>
        </w:rPr>
        <w:br/>
        <w:t>• online harassment or bullying</w:t>
      </w:r>
      <w:r w:rsidRPr="00F57FB3">
        <w:rPr>
          <w:rFonts w:ascii="Calibri" w:eastAsia="Times New Roman" w:hAnsi="Calibri" w:cs="Calibri"/>
          <w:sz w:val="24"/>
          <w:szCs w:val="24"/>
          <w:lang w:eastAsia="en-GB"/>
        </w:rPr>
        <w:br/>
        <w:t>• sharing images online</w:t>
      </w:r>
      <w:r w:rsidRPr="00F57FB3">
        <w:rPr>
          <w:rFonts w:ascii="Calibri" w:eastAsia="Times New Roman" w:hAnsi="Calibri" w:cs="Calibri"/>
          <w:sz w:val="24"/>
          <w:szCs w:val="24"/>
          <w:lang w:eastAsia="en-GB"/>
        </w:rPr>
        <w:br/>
        <w:t>• peer pressure within friendship groups</w:t>
      </w:r>
      <w:r w:rsidRPr="00F57FB3">
        <w:rPr>
          <w:rFonts w:ascii="Calibri" w:eastAsia="Times New Roman" w:hAnsi="Calibri" w:cs="Calibri"/>
          <w:sz w:val="24"/>
          <w:szCs w:val="24"/>
          <w:lang w:eastAsia="en-GB"/>
        </w:rPr>
        <w:br/>
        <w:t>• emerging online risks</w:t>
      </w:r>
      <w:r w:rsidRPr="00F57FB3">
        <w:rPr>
          <w:rFonts w:ascii="Calibri" w:eastAsia="Times New Roman" w:hAnsi="Calibri" w:cs="Calibri"/>
          <w:sz w:val="24"/>
          <w:szCs w:val="24"/>
          <w:lang w:eastAsia="en-GB"/>
        </w:rPr>
        <w:br/>
        <w:t>• safeguarding concerns identified within the local area</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timing of this block is intentionally flexible so lessons can be delivered when they are most needed.</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29"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6. PSHE and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plays a central role in supporting pupils’ wider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Through the curriculum pupils develop:</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knowledge needed to keep themselves safe</w:t>
      </w:r>
      <w:r w:rsidRPr="00F57FB3">
        <w:rPr>
          <w:rFonts w:ascii="Calibri" w:eastAsia="Times New Roman" w:hAnsi="Calibri" w:cs="Calibri"/>
          <w:sz w:val="24"/>
          <w:szCs w:val="24"/>
          <w:lang w:eastAsia="en-GB"/>
        </w:rPr>
        <w:br/>
        <w:t>• skills to manage relationships and social situations</w:t>
      </w:r>
      <w:r w:rsidRPr="00F57FB3">
        <w:rPr>
          <w:rFonts w:ascii="Calibri" w:eastAsia="Times New Roman" w:hAnsi="Calibri" w:cs="Calibri"/>
          <w:sz w:val="24"/>
          <w:szCs w:val="24"/>
          <w:lang w:eastAsia="en-GB"/>
        </w:rPr>
        <w:br/>
        <w:t>• confidence to seek help when needed</w:t>
      </w:r>
      <w:r w:rsidRPr="00F57FB3">
        <w:rPr>
          <w:rFonts w:ascii="Calibri" w:eastAsia="Times New Roman" w:hAnsi="Calibri" w:cs="Calibri"/>
          <w:sz w:val="24"/>
          <w:szCs w:val="24"/>
          <w:lang w:eastAsia="en-GB"/>
        </w:rPr>
        <w:br/>
        <w:t>• understanding of rights and responsibilities</w:t>
      </w:r>
      <w:r w:rsidRPr="00F57FB3">
        <w:rPr>
          <w:rFonts w:ascii="Calibri" w:eastAsia="Times New Roman" w:hAnsi="Calibri" w:cs="Calibri"/>
          <w:sz w:val="24"/>
          <w:szCs w:val="24"/>
          <w:lang w:eastAsia="en-GB"/>
        </w:rPr>
        <w:br/>
        <w:t>• the ability to make informed decisions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complements wider pastoral support, behaviour systems and safeguarding processes within the school.</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0"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7. Safeguarding Through the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PSHE contributes significantly to the school’s safeguarding responsibilities.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Through the curriculum pupils learn to recognise risks, understand personal boundaries and know how to seek help if they are worried about themselves or others.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Key safeguarding topics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online safety and digital behaviour</w:t>
      </w:r>
      <w:r w:rsidRPr="00F57FB3">
        <w:rPr>
          <w:rFonts w:ascii="Calibri" w:eastAsia="Times New Roman" w:hAnsi="Calibri" w:cs="Calibri"/>
          <w:sz w:val="24"/>
          <w:szCs w:val="24"/>
          <w:lang w:eastAsia="en-GB"/>
        </w:rPr>
        <w:br/>
        <w:t>• recognising exploitation and grooming</w:t>
      </w:r>
      <w:r w:rsidRPr="00F57FB3">
        <w:rPr>
          <w:rFonts w:ascii="Calibri" w:eastAsia="Times New Roman" w:hAnsi="Calibri" w:cs="Calibri"/>
          <w:sz w:val="24"/>
          <w:szCs w:val="24"/>
          <w:lang w:eastAsia="en-GB"/>
        </w:rPr>
        <w:br/>
        <w:t>• bullying and harassment</w:t>
      </w:r>
      <w:r w:rsidRPr="00F57FB3">
        <w:rPr>
          <w:rFonts w:ascii="Calibri" w:eastAsia="Times New Roman" w:hAnsi="Calibri" w:cs="Calibri"/>
          <w:sz w:val="24"/>
          <w:szCs w:val="24"/>
          <w:lang w:eastAsia="en-GB"/>
        </w:rPr>
        <w:br/>
        <w:t>• peer pressure and risky behaviour</w:t>
      </w:r>
      <w:r w:rsidRPr="00F57FB3">
        <w:rPr>
          <w:rFonts w:ascii="Calibri" w:eastAsia="Times New Roman" w:hAnsi="Calibri" w:cs="Calibri"/>
          <w:sz w:val="24"/>
          <w:szCs w:val="24"/>
          <w:lang w:eastAsia="en-GB"/>
        </w:rPr>
        <w:br/>
      </w:r>
      <w:r w:rsidRPr="00F57FB3">
        <w:rPr>
          <w:rFonts w:ascii="Calibri" w:eastAsia="Times New Roman" w:hAnsi="Calibri" w:cs="Calibri"/>
          <w:sz w:val="24"/>
          <w:szCs w:val="24"/>
          <w:lang w:eastAsia="en-GB"/>
        </w:rPr>
        <w:lastRenderedPageBreak/>
        <w:t>• substance misuse</w:t>
      </w:r>
      <w:r w:rsidRPr="00F57FB3">
        <w:rPr>
          <w:rFonts w:ascii="Calibri" w:eastAsia="Times New Roman" w:hAnsi="Calibri" w:cs="Calibri"/>
          <w:sz w:val="24"/>
          <w:szCs w:val="24"/>
          <w:lang w:eastAsia="en-GB"/>
        </w:rPr>
        <w:br/>
        <w:t>• personal safety in public spaces</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1"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8. SMSC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contributes to pupils’ spiritual, moral, social and cultural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Spiritual development is supported through opportunities to reflect on values and personal experiences.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Moral development is supported through discussions about fairness, responsibility and ethical decision-making.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Social development is supported through collaboration, communication and developing positive relationships.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Cultural development is supported through understanding diversity and life in modern Britain.</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2" style="width:0;height:1.5pt" o:hralign="center" o:hrstd="t" o:hr="t" fillcolor="#a0a0a0" stroked="f"/>
        </w:pict>
      </w:r>
    </w:p>
    <w:p w:rsidR="00F57FB3" w:rsidRPr="00F57FB3" w:rsidRDefault="00F57FB3" w:rsidP="00F57FB3">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9. British Values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curriculum supports pupils to understand the fundamental British values of:</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democracy</w:t>
      </w:r>
      <w:r w:rsidRPr="00F57FB3">
        <w:rPr>
          <w:rFonts w:ascii="Calibri" w:eastAsia="Times New Roman" w:hAnsi="Calibri" w:cs="Calibri"/>
          <w:sz w:val="24"/>
          <w:szCs w:val="24"/>
          <w:lang w:eastAsia="en-GB"/>
        </w:rPr>
        <w:br/>
        <w:t>• the rule of law</w:t>
      </w:r>
      <w:r w:rsidRPr="00F57FB3">
        <w:rPr>
          <w:rFonts w:ascii="Calibri" w:eastAsia="Times New Roman" w:hAnsi="Calibri" w:cs="Calibri"/>
          <w:sz w:val="24"/>
          <w:szCs w:val="24"/>
          <w:lang w:eastAsia="en-GB"/>
        </w:rPr>
        <w:br/>
        <w:t>• individual liberty</w:t>
      </w:r>
      <w:r w:rsidRPr="00F57FB3">
        <w:rPr>
          <w:rFonts w:ascii="Calibri" w:eastAsia="Times New Roman" w:hAnsi="Calibri" w:cs="Calibri"/>
          <w:sz w:val="24"/>
          <w:szCs w:val="24"/>
          <w:lang w:eastAsia="en-GB"/>
        </w:rPr>
        <w:br/>
        <w:t>• mutual respect</w:t>
      </w:r>
      <w:r w:rsidRPr="00F57FB3">
        <w:rPr>
          <w:rFonts w:ascii="Calibri" w:eastAsia="Times New Roman" w:hAnsi="Calibri" w:cs="Calibri"/>
          <w:sz w:val="24"/>
          <w:szCs w:val="24"/>
          <w:lang w:eastAsia="en-GB"/>
        </w:rPr>
        <w:br/>
        <w:t>• tolerance of different faiths and beliefs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Pupils explore how these values apply in their everyday lives and within wider society.</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3" style="width:0;height:1.5pt" o:hralign="center" o:hrstd="t" o:hr="t" fillcolor="#a0a0a0" stroked="f"/>
        </w:pict>
      </w:r>
    </w:p>
    <w:p w:rsidR="00EE5772" w:rsidRPr="00EE5772" w:rsidRDefault="00EE5772" w:rsidP="00EE5772">
      <w:pPr>
        <w:spacing w:before="100" w:beforeAutospacing="1" w:after="100" w:afterAutospacing="1" w:line="240" w:lineRule="auto"/>
        <w:outlineLvl w:val="1"/>
        <w:rPr>
          <w:rFonts w:ascii="Calibri" w:eastAsia="Times New Roman" w:hAnsi="Calibri" w:cs="Calibri"/>
          <w:b/>
          <w:bCs/>
          <w:sz w:val="36"/>
          <w:szCs w:val="36"/>
          <w:lang w:eastAsia="en-GB"/>
        </w:rPr>
      </w:pPr>
      <w:r>
        <w:rPr>
          <w:rFonts w:ascii="Calibri" w:eastAsia="Times New Roman" w:hAnsi="Calibri" w:cs="Calibri"/>
          <w:b/>
          <w:bCs/>
          <w:sz w:val="36"/>
          <w:szCs w:val="36"/>
          <w:lang w:eastAsia="en-GB"/>
        </w:rPr>
        <w:t xml:space="preserve">10. </w:t>
      </w:r>
      <w:r w:rsidRPr="00EE5772">
        <w:rPr>
          <w:rFonts w:ascii="Calibri" w:eastAsia="Times New Roman" w:hAnsi="Calibri" w:cs="Calibri"/>
          <w:b/>
          <w:bCs/>
          <w:sz w:val="36"/>
          <w:szCs w:val="36"/>
          <w:lang w:eastAsia="en-GB"/>
        </w:rPr>
        <w:t>Embedding British Values, SMSC and Protected Characteristics in Teaching</w:t>
      </w:r>
    </w:p>
    <w:p w:rsidR="00EE5772" w:rsidRPr="00EE5772" w:rsidRDefault="00EE5772" w:rsidP="00EE5772">
      <w:pPr>
        <w:pStyle w:val="NoSpacing"/>
        <w:rPr>
          <w:lang w:eastAsia="en-GB"/>
        </w:rPr>
      </w:pPr>
    </w:p>
    <w:p w:rsidR="00EE5772" w:rsidRPr="00EE5772" w:rsidRDefault="00EE5772" w:rsidP="00EE5772">
      <w:pPr>
        <w:pStyle w:val="NoSpacing"/>
        <w:rPr>
          <w:sz w:val="24"/>
          <w:szCs w:val="24"/>
          <w:lang w:eastAsia="en-GB"/>
        </w:rPr>
      </w:pPr>
      <w:r w:rsidRPr="00EE5772">
        <w:rPr>
          <w:sz w:val="24"/>
          <w:szCs w:val="24"/>
          <w:lang w:eastAsia="en-GB"/>
        </w:rPr>
        <w:t>British Values (BV), SMSC and Protected Characteristics (PC) are embedded within the PSHE curriculum and are identified within lesson planning where they are most relevant and meaningful.</w:t>
      </w:r>
    </w:p>
    <w:p w:rsidR="00EE5772" w:rsidRPr="00EE5772" w:rsidRDefault="00EE5772" w:rsidP="00EE5772">
      <w:pPr>
        <w:pStyle w:val="NoSpacing"/>
        <w:rPr>
          <w:lang w:eastAsia="en-GB"/>
        </w:rPr>
      </w:pPr>
    </w:p>
    <w:p w:rsidR="00EE5772" w:rsidRPr="00EE5772" w:rsidRDefault="00EE5772" w:rsidP="00EE5772">
      <w:pPr>
        <w:pStyle w:val="NoSpacing"/>
        <w:rPr>
          <w:sz w:val="24"/>
          <w:szCs w:val="24"/>
          <w:lang w:eastAsia="en-GB"/>
        </w:rPr>
      </w:pPr>
      <w:r w:rsidRPr="00EE5772">
        <w:rPr>
          <w:sz w:val="24"/>
          <w:szCs w:val="24"/>
          <w:lang w:eastAsia="en-GB"/>
        </w:rPr>
        <w:lastRenderedPageBreak/>
        <w:t>Teachers are expected to make these links explicit during teaching and should not assume that pupils will automatically recognise the connections themselves.</w:t>
      </w:r>
    </w:p>
    <w:p w:rsidR="00EE5772" w:rsidRPr="00EE5772" w:rsidRDefault="00EE5772" w:rsidP="00EE5772">
      <w:pPr>
        <w:pStyle w:val="NoSpacing"/>
        <w:rPr>
          <w:sz w:val="24"/>
          <w:szCs w:val="24"/>
          <w:lang w:eastAsia="en-GB"/>
        </w:rPr>
      </w:pPr>
    </w:p>
    <w:p w:rsidR="00EE5772" w:rsidRDefault="00EE5772" w:rsidP="00EE5772">
      <w:pPr>
        <w:pStyle w:val="NoSpacing"/>
        <w:rPr>
          <w:sz w:val="24"/>
          <w:szCs w:val="24"/>
          <w:lang w:eastAsia="en-GB"/>
        </w:rPr>
      </w:pPr>
      <w:r w:rsidRPr="00EE5772">
        <w:rPr>
          <w:sz w:val="24"/>
          <w:szCs w:val="24"/>
          <w:lang w:eastAsia="en-GB"/>
        </w:rPr>
        <w:t>Examples of these links are shown within the curriculum planning documents. These demonstrate where key concepts such as democracy, equality, respect, tolerance and rights are taught through specific lessons and topics.</w:t>
      </w:r>
    </w:p>
    <w:p w:rsidR="00B067DA" w:rsidRDefault="00B067DA" w:rsidP="00EE5772">
      <w:pPr>
        <w:pStyle w:val="NoSpacing"/>
        <w:rPr>
          <w:sz w:val="24"/>
          <w:szCs w:val="24"/>
          <w:lang w:eastAsia="en-GB"/>
        </w:rPr>
      </w:pPr>
      <w:r w:rsidRPr="00B067DA">
        <w:rPr>
          <w:sz w:val="24"/>
          <w:szCs w:val="24"/>
          <w:lang w:eastAsia="en-GB"/>
        </w:rPr>
        <w:drawing>
          <wp:anchor distT="0" distB="0" distL="114300" distR="114300" simplePos="0" relativeHeight="251660288" behindDoc="0" locked="0" layoutInCell="1" allowOverlap="1" wp14:anchorId="2FFC4E6C" wp14:editId="7D595D0C">
            <wp:simplePos x="0" y="0"/>
            <wp:positionH relativeFrom="margin">
              <wp:align>left</wp:align>
            </wp:positionH>
            <wp:positionV relativeFrom="paragraph">
              <wp:posOffset>102870</wp:posOffset>
            </wp:positionV>
            <wp:extent cx="1771650"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771650" cy="828675"/>
                    </a:xfrm>
                    <a:prstGeom prst="rect">
                      <a:avLst/>
                    </a:prstGeom>
                  </pic:spPr>
                </pic:pic>
              </a:graphicData>
            </a:graphic>
            <wp14:sizeRelH relativeFrom="page">
              <wp14:pctWidth>0</wp14:pctWidth>
            </wp14:sizeRelH>
            <wp14:sizeRelV relativeFrom="page">
              <wp14:pctHeight>0</wp14:pctHeight>
            </wp14:sizeRelV>
          </wp:anchor>
        </w:drawing>
      </w:r>
      <w:r w:rsidRPr="00B067DA">
        <w:rPr>
          <w:sz w:val="24"/>
          <w:szCs w:val="24"/>
          <w:lang w:eastAsia="en-GB"/>
        </w:rPr>
        <w:drawing>
          <wp:anchor distT="0" distB="0" distL="114300" distR="114300" simplePos="0" relativeHeight="251659264" behindDoc="0" locked="0" layoutInCell="1" allowOverlap="1" wp14:anchorId="68539110" wp14:editId="68F10ED1">
            <wp:simplePos x="0" y="0"/>
            <wp:positionH relativeFrom="margin">
              <wp:align>center</wp:align>
            </wp:positionH>
            <wp:positionV relativeFrom="paragraph">
              <wp:posOffset>166370</wp:posOffset>
            </wp:positionV>
            <wp:extent cx="1781175" cy="790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14:sizeRelH relativeFrom="page">
              <wp14:pctWidth>0</wp14:pctWidth>
            </wp14:sizeRelH>
            <wp14:sizeRelV relativeFrom="page">
              <wp14:pctHeight>0</wp14:pctHeight>
            </wp14:sizeRelV>
          </wp:anchor>
        </w:drawing>
      </w:r>
      <w:r w:rsidRPr="00B067DA">
        <w:rPr>
          <w:sz w:val="24"/>
          <w:szCs w:val="24"/>
          <w:lang w:eastAsia="en-GB"/>
        </w:rPr>
        <w:drawing>
          <wp:anchor distT="0" distB="0" distL="114300" distR="114300" simplePos="0" relativeHeight="251661312" behindDoc="0" locked="0" layoutInCell="1" allowOverlap="1" wp14:anchorId="02D2595F" wp14:editId="5ABB4523">
            <wp:simplePos x="0" y="0"/>
            <wp:positionH relativeFrom="margin">
              <wp:align>right</wp:align>
            </wp:positionH>
            <wp:positionV relativeFrom="paragraph">
              <wp:posOffset>13970</wp:posOffset>
            </wp:positionV>
            <wp:extent cx="1752600" cy="971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52600" cy="971550"/>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EE5772" w:rsidRPr="00EE5772" w:rsidRDefault="00EE5772" w:rsidP="00EE5772">
      <w:pPr>
        <w:pStyle w:val="NoSpacing"/>
        <w:rPr>
          <w:sz w:val="24"/>
          <w:szCs w:val="24"/>
          <w:lang w:eastAsia="en-GB"/>
        </w:rPr>
      </w:pPr>
    </w:p>
    <w:p w:rsidR="00EE5772" w:rsidRPr="00EE5772" w:rsidRDefault="00EE5772" w:rsidP="00EE5772">
      <w:pPr>
        <w:pStyle w:val="NoSpacing"/>
        <w:rPr>
          <w:sz w:val="24"/>
          <w:szCs w:val="24"/>
          <w:lang w:eastAsia="en-GB"/>
        </w:rPr>
      </w:pPr>
      <w:r w:rsidRPr="00EE5772">
        <w:rPr>
          <w:sz w:val="24"/>
          <w:szCs w:val="24"/>
          <w:lang w:eastAsia="en-GB"/>
        </w:rPr>
        <w:t>To support consistency, reference posters for British Values, SMSC and Protected Characteristics are included within teacher books. These act as a prompt for staff and support pupils in revisiting and remembering these ideas over time.</w:t>
      </w:r>
    </w:p>
    <w:p w:rsidR="00EE5772" w:rsidRDefault="00B067DA" w:rsidP="00EE5772">
      <w:pPr>
        <w:pStyle w:val="NoSpacing"/>
        <w:rPr>
          <w:sz w:val="24"/>
          <w:szCs w:val="24"/>
          <w:lang w:eastAsia="en-GB"/>
        </w:rPr>
      </w:pPr>
      <w:r w:rsidRPr="00B067DA">
        <w:rPr>
          <w:sz w:val="24"/>
          <w:szCs w:val="24"/>
          <w:lang w:eastAsia="en-GB"/>
        </w:rPr>
        <w:drawing>
          <wp:anchor distT="0" distB="0" distL="114300" distR="114300" simplePos="0" relativeHeight="251662336" behindDoc="0" locked="0" layoutInCell="1" allowOverlap="1" wp14:anchorId="005AA604" wp14:editId="309F9B61">
            <wp:simplePos x="0" y="0"/>
            <wp:positionH relativeFrom="margin">
              <wp:posOffset>4483100</wp:posOffset>
            </wp:positionH>
            <wp:positionV relativeFrom="paragraph">
              <wp:posOffset>58420</wp:posOffset>
            </wp:positionV>
            <wp:extent cx="1386205" cy="1689100"/>
            <wp:effectExtent l="0" t="0" r="444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205" cy="1689100"/>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bookmarkStart w:id="0" w:name="_GoBack"/>
      <w:r w:rsidRPr="00B067DA">
        <w:drawing>
          <wp:anchor distT="0" distB="0" distL="114300" distR="114300" simplePos="0" relativeHeight="251664384" behindDoc="0" locked="0" layoutInCell="1" allowOverlap="1" wp14:anchorId="6A70FAB5" wp14:editId="0B4EE419">
            <wp:simplePos x="0" y="0"/>
            <wp:positionH relativeFrom="margin">
              <wp:posOffset>-190500</wp:posOffset>
            </wp:positionH>
            <wp:positionV relativeFrom="paragraph">
              <wp:posOffset>127000</wp:posOffset>
            </wp:positionV>
            <wp:extent cx="1971675" cy="11684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1168400"/>
                    </a:xfrm>
                    <a:prstGeom prst="rect">
                      <a:avLst/>
                    </a:prstGeom>
                  </pic:spPr>
                </pic:pic>
              </a:graphicData>
            </a:graphic>
            <wp14:sizeRelH relativeFrom="page">
              <wp14:pctWidth>0</wp14:pctWidth>
            </wp14:sizeRelH>
            <wp14:sizeRelV relativeFrom="page">
              <wp14:pctHeight>0</wp14:pctHeight>
            </wp14:sizeRelV>
          </wp:anchor>
        </w:drawing>
      </w:r>
      <w:bookmarkEnd w:id="0"/>
      <w:r w:rsidRPr="00B067DA">
        <w:rPr>
          <w:sz w:val="24"/>
          <w:szCs w:val="24"/>
          <w:lang w:eastAsia="en-GB"/>
        </w:rPr>
        <w:drawing>
          <wp:anchor distT="0" distB="0" distL="114300" distR="114300" simplePos="0" relativeHeight="251663360" behindDoc="0" locked="0" layoutInCell="1" allowOverlap="1" wp14:anchorId="45FA1B9D" wp14:editId="27022C94">
            <wp:simplePos x="0" y="0"/>
            <wp:positionH relativeFrom="margin">
              <wp:posOffset>2298972</wp:posOffset>
            </wp:positionH>
            <wp:positionV relativeFrom="paragraph">
              <wp:posOffset>12700</wp:posOffset>
            </wp:positionV>
            <wp:extent cx="1676400" cy="16093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609351"/>
                    </a:xfrm>
                    <a:prstGeom prst="rect">
                      <a:avLst/>
                    </a:prstGeom>
                  </pic:spPr>
                </pic:pic>
              </a:graphicData>
            </a:graphic>
            <wp14:sizeRelH relativeFrom="page">
              <wp14:pctWidth>0</wp14:pctWidth>
            </wp14:sizeRelH>
            <wp14:sizeRelV relativeFrom="page">
              <wp14:pctHeight>0</wp14:pctHeight>
            </wp14:sizeRelV>
          </wp:anchor>
        </w:drawing>
      </w: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Default="00B067DA" w:rsidP="00EE5772">
      <w:pPr>
        <w:pStyle w:val="NoSpacing"/>
        <w:rPr>
          <w:sz w:val="24"/>
          <w:szCs w:val="24"/>
          <w:lang w:eastAsia="en-GB"/>
        </w:rPr>
      </w:pPr>
    </w:p>
    <w:p w:rsidR="00B067DA" w:rsidRPr="00EE5772" w:rsidRDefault="00B067DA" w:rsidP="00EE5772">
      <w:pPr>
        <w:pStyle w:val="NoSpacing"/>
        <w:rPr>
          <w:sz w:val="24"/>
          <w:szCs w:val="24"/>
          <w:lang w:eastAsia="en-GB"/>
        </w:rPr>
      </w:pPr>
    </w:p>
    <w:p w:rsidR="00F57FB3" w:rsidRPr="00EE5772" w:rsidRDefault="00EE5772" w:rsidP="00EE5772">
      <w:pPr>
        <w:pStyle w:val="NoSpacing"/>
        <w:rPr>
          <w:sz w:val="24"/>
          <w:szCs w:val="24"/>
          <w:lang w:eastAsia="en-GB"/>
        </w:rPr>
      </w:pPr>
      <w:r w:rsidRPr="00EE5772">
        <w:rPr>
          <w:sz w:val="24"/>
          <w:szCs w:val="24"/>
          <w:lang w:eastAsia="en-GB"/>
        </w:rPr>
        <w:t>British Values, SMSC and Protected Characteristics may also form part of retrieval and review activities where appropriate. This helps reinforce understanding and supports pupils in remembering and applying these ideas over the longer term.</w:t>
      </w:r>
      <w:r w:rsidR="00F57FB3" w:rsidRPr="00EE5772">
        <w:rPr>
          <w:sz w:val="24"/>
          <w:szCs w:val="24"/>
          <w:lang w:eastAsia="en-GB"/>
        </w:rPr>
        <w:t>10. Meeting the Needs of Pupils with SEND</w:t>
      </w:r>
    </w:p>
    <w:p w:rsidR="00EE5772" w:rsidRPr="00F57FB3" w:rsidRDefault="00EE5772" w:rsidP="00EE5772">
      <w:pPr>
        <w:spacing w:before="100" w:beforeAutospacing="1" w:after="100" w:afterAutospacing="1" w:line="240" w:lineRule="auto"/>
        <w:outlineLvl w:val="1"/>
        <w:rPr>
          <w:rFonts w:ascii="Calibri" w:eastAsia="Times New Roman" w:hAnsi="Calibri" w:cs="Calibri"/>
          <w:b/>
          <w:bCs/>
          <w:sz w:val="36"/>
          <w:szCs w:val="36"/>
          <w:lang w:eastAsia="en-GB"/>
        </w:rPr>
      </w:pPr>
      <w:r w:rsidRPr="00F57FB3">
        <w:rPr>
          <w:rFonts w:ascii="Calibri" w:eastAsia="Times New Roman" w:hAnsi="Calibri" w:cs="Calibri"/>
          <w:b/>
          <w:bCs/>
          <w:sz w:val="36"/>
          <w:szCs w:val="36"/>
          <w:lang w:eastAsia="en-GB"/>
        </w:rPr>
        <w:t xml:space="preserve">11. </w:t>
      </w:r>
      <w:r>
        <w:rPr>
          <w:rFonts w:ascii="Calibri" w:eastAsia="Times New Roman" w:hAnsi="Calibri" w:cs="Calibri"/>
          <w:b/>
          <w:bCs/>
          <w:sz w:val="36"/>
          <w:szCs w:val="36"/>
          <w:lang w:eastAsia="en-GB"/>
        </w:rPr>
        <w:t>Meeting the needs of pupils with SEND</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Teaching is adapted to ensure pupils with SEND can access and benefit from the PSHE curriculum.</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Approaches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clear and simplified explanations</w:t>
      </w:r>
      <w:r w:rsidRPr="00F57FB3">
        <w:rPr>
          <w:rFonts w:ascii="Calibri" w:eastAsia="Times New Roman" w:hAnsi="Calibri" w:cs="Calibri"/>
          <w:sz w:val="24"/>
          <w:szCs w:val="24"/>
          <w:lang w:eastAsia="en-GB"/>
        </w:rPr>
        <w:br/>
        <w:t>• repetition and revisiting key ideas</w:t>
      </w:r>
      <w:r w:rsidRPr="00F57FB3">
        <w:rPr>
          <w:rFonts w:ascii="Calibri" w:eastAsia="Times New Roman" w:hAnsi="Calibri" w:cs="Calibri"/>
          <w:sz w:val="24"/>
          <w:szCs w:val="24"/>
          <w:lang w:eastAsia="en-GB"/>
        </w:rPr>
        <w:br/>
        <w:t>• real-life examples and scenarios</w:t>
      </w:r>
      <w:r w:rsidRPr="00F57FB3">
        <w:rPr>
          <w:rFonts w:ascii="Calibri" w:eastAsia="Times New Roman" w:hAnsi="Calibri" w:cs="Calibri"/>
          <w:sz w:val="24"/>
          <w:szCs w:val="24"/>
          <w:lang w:eastAsia="en-GB"/>
        </w:rPr>
        <w:br/>
        <w:t>• visual supports</w:t>
      </w:r>
      <w:r w:rsidRPr="00F57FB3">
        <w:rPr>
          <w:rFonts w:ascii="Calibri" w:eastAsia="Times New Roman" w:hAnsi="Calibri" w:cs="Calibri"/>
          <w:sz w:val="24"/>
          <w:szCs w:val="24"/>
          <w:lang w:eastAsia="en-GB"/>
        </w:rPr>
        <w:br/>
        <w:t>• breaking complex topics into manageable steps</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Lessons are delivered sensitively and staff follow safeguarding procedures if concerns arise.</w:t>
      </w:r>
    </w:p>
    <w:p w:rsidR="00F57FB3" w:rsidRPr="00F57FB3" w:rsidRDefault="00B067DA" w:rsidP="00F57FB3">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pict>
          <v:rect id="_x0000_i1034" style="width:0;height:1.5pt" o:hralign="center" o:hrstd="t" o:hr="t" fillcolor="#a0a0a0" stroked="f"/>
        </w:pict>
      </w:r>
    </w:p>
    <w:p w:rsidR="00F57FB3" w:rsidRPr="00F57FB3" w:rsidRDefault="00EE5772" w:rsidP="00F57FB3">
      <w:pPr>
        <w:spacing w:before="100" w:beforeAutospacing="1" w:after="100" w:afterAutospacing="1" w:line="240" w:lineRule="auto"/>
        <w:outlineLvl w:val="1"/>
        <w:rPr>
          <w:rFonts w:ascii="Calibri" w:eastAsia="Times New Roman" w:hAnsi="Calibri" w:cs="Calibri"/>
          <w:b/>
          <w:bCs/>
          <w:sz w:val="36"/>
          <w:szCs w:val="36"/>
          <w:lang w:eastAsia="en-GB"/>
        </w:rPr>
      </w:pPr>
      <w:r>
        <w:rPr>
          <w:rFonts w:ascii="Calibri" w:eastAsia="Times New Roman" w:hAnsi="Calibri" w:cs="Calibri"/>
          <w:b/>
          <w:bCs/>
          <w:sz w:val="36"/>
          <w:szCs w:val="36"/>
          <w:lang w:eastAsia="en-GB"/>
        </w:rPr>
        <w:lastRenderedPageBreak/>
        <w:t>12</w:t>
      </w:r>
      <w:r w:rsidR="00F57FB3" w:rsidRPr="00F57FB3">
        <w:rPr>
          <w:rFonts w:ascii="Calibri" w:eastAsia="Times New Roman" w:hAnsi="Calibri" w:cs="Calibri"/>
          <w:b/>
          <w:bCs/>
          <w:sz w:val="36"/>
          <w:szCs w:val="36"/>
          <w:lang w:eastAsia="en-GB"/>
        </w:rPr>
        <w:t>. Monitoring</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The PSHE curriculum is monitored by leaders responsible for personal development.</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Monitoring may include:</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 review of curriculum planning</w:t>
      </w:r>
      <w:r w:rsidRPr="00F57FB3">
        <w:rPr>
          <w:rFonts w:ascii="Calibri" w:eastAsia="Times New Roman" w:hAnsi="Calibri" w:cs="Calibri"/>
          <w:sz w:val="24"/>
          <w:szCs w:val="24"/>
          <w:lang w:eastAsia="en-GB"/>
        </w:rPr>
        <w:br/>
        <w:t>• learning walks</w:t>
      </w:r>
      <w:r w:rsidRPr="00F57FB3">
        <w:rPr>
          <w:rFonts w:ascii="Calibri" w:eastAsia="Times New Roman" w:hAnsi="Calibri" w:cs="Calibri"/>
          <w:sz w:val="24"/>
          <w:szCs w:val="24"/>
          <w:lang w:eastAsia="en-GB"/>
        </w:rPr>
        <w:br/>
        <w:t>• pupil voice</w:t>
      </w:r>
      <w:r w:rsidRPr="00F57FB3">
        <w:rPr>
          <w:rFonts w:ascii="Calibri" w:eastAsia="Times New Roman" w:hAnsi="Calibri" w:cs="Calibri"/>
          <w:sz w:val="24"/>
          <w:szCs w:val="24"/>
          <w:lang w:eastAsia="en-GB"/>
        </w:rPr>
        <w:br/>
        <w:t>• review of safeguarding and behaviour data</w:t>
      </w:r>
    </w:p>
    <w:p w:rsidR="00F57FB3" w:rsidRPr="00F57FB3" w:rsidRDefault="00F57FB3" w:rsidP="00F57FB3">
      <w:pPr>
        <w:spacing w:before="100" w:beforeAutospacing="1" w:after="100" w:afterAutospacing="1" w:line="240" w:lineRule="auto"/>
        <w:rPr>
          <w:rFonts w:ascii="Calibri" w:eastAsia="Times New Roman" w:hAnsi="Calibri" w:cs="Calibri"/>
          <w:sz w:val="24"/>
          <w:szCs w:val="24"/>
          <w:lang w:eastAsia="en-GB"/>
        </w:rPr>
      </w:pPr>
      <w:r w:rsidRPr="00F57FB3">
        <w:rPr>
          <w:rFonts w:ascii="Calibri" w:eastAsia="Times New Roman" w:hAnsi="Calibri" w:cs="Calibri"/>
          <w:sz w:val="24"/>
          <w:szCs w:val="24"/>
          <w:lang w:eastAsia="en-GB"/>
        </w:rPr>
        <w:t>This ensures the curriculum remains relevant and responsive to the needs of pupils.</w:t>
      </w:r>
    </w:p>
    <w:p w:rsidR="00CE320D" w:rsidRDefault="00CE320D"/>
    <w:sectPr w:rsidR="00CE3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B3"/>
    <w:rsid w:val="00060724"/>
    <w:rsid w:val="00B067DA"/>
    <w:rsid w:val="00CE320D"/>
    <w:rsid w:val="00EE5772"/>
    <w:rsid w:val="00F5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F2F3"/>
  <w15:chartTrackingRefBased/>
  <w15:docId w15:val="{02CEF9E0-AAB0-453C-B6AA-7AE07D05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72"/>
  </w:style>
  <w:style w:type="paragraph" w:styleId="Heading1">
    <w:name w:val="heading 1"/>
    <w:basedOn w:val="Normal"/>
    <w:link w:val="Heading1Char"/>
    <w:uiPriority w:val="9"/>
    <w:qFormat/>
    <w:rsid w:val="00F57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57FB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57F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B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57FB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7FB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57F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E5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036">
      <w:bodyDiv w:val="1"/>
      <w:marLeft w:val="0"/>
      <w:marRight w:val="0"/>
      <w:marTop w:val="0"/>
      <w:marBottom w:val="0"/>
      <w:divBdr>
        <w:top w:val="none" w:sz="0" w:space="0" w:color="auto"/>
        <w:left w:val="none" w:sz="0" w:space="0" w:color="auto"/>
        <w:bottom w:val="none" w:sz="0" w:space="0" w:color="auto"/>
        <w:right w:val="none" w:sz="0" w:space="0" w:color="auto"/>
      </w:divBdr>
    </w:div>
    <w:div w:id="2913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Ellis</dc:creator>
  <cp:keywords/>
  <dc:description/>
  <cp:lastModifiedBy>A Ellis</cp:lastModifiedBy>
  <cp:revision>3</cp:revision>
  <dcterms:created xsi:type="dcterms:W3CDTF">2026-03-11T12:12:00Z</dcterms:created>
  <dcterms:modified xsi:type="dcterms:W3CDTF">2026-03-13T16:43:00Z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5f3cc500-42f8-4c89-8be0-d2aca690db00</vt:lpwstr>
  </property>
</Properties>
</file>